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rPr>
      </w:pPr>
      <w:bookmarkStart w:id="174" w:name="_GoBack"/>
      <w:bookmarkEnd w:id="174"/>
    </w:p>
    <w:p>
      <w:pPr>
        <w:spacing w:line="360" w:lineRule="auto"/>
        <w:jc w:val="right"/>
        <w:rPr>
          <w:rFonts w:ascii="宋体" w:hAnsi="宋体" w:eastAsia="宋体"/>
          <w:b/>
          <w:color w:val="auto"/>
          <w:sz w:val="32"/>
          <w:szCs w:val="32"/>
        </w:rPr>
      </w:pPr>
    </w:p>
    <w:p>
      <w:pPr>
        <w:spacing w:line="360" w:lineRule="auto"/>
        <w:rPr>
          <w:rFonts w:ascii="宋体" w:hAnsi="宋体"/>
          <w:color w:val="auto"/>
          <w:sz w:val="24"/>
        </w:rPr>
      </w:pPr>
    </w:p>
    <w:p>
      <w:pPr>
        <w:keepNext w:val="0"/>
        <w:keepLines w:val="0"/>
        <w:widowControl w:val="0"/>
        <w:suppressLineNumbers w:val="0"/>
        <w:spacing w:before="0" w:beforeAutospacing="0" w:after="0" w:afterAutospacing="0" w:line="360" w:lineRule="auto"/>
        <w:ind w:left="0" w:right="0"/>
        <w:jc w:val="center"/>
        <w:outlineLvl w:val="0"/>
        <w:rPr>
          <w:rFonts w:hint="default" w:ascii="宋体" w:hAnsi="宋体"/>
          <w:b/>
          <w:color w:val="auto"/>
          <w:kern w:val="0"/>
          <w:sz w:val="52"/>
          <w:szCs w:val="52"/>
          <w:u w:val="none"/>
          <w:lang w:val="en-US" w:eastAsia="zh-CN"/>
        </w:rPr>
      </w:pPr>
      <w:r>
        <w:rPr>
          <w:rFonts w:hint="eastAsia" w:ascii="宋体" w:hAnsi="宋体" w:eastAsia="宋体" w:cs="宋体"/>
          <w:b/>
          <w:bCs w:val="0"/>
          <w:kern w:val="0"/>
          <w:sz w:val="52"/>
          <w:szCs w:val="52"/>
          <w:u w:val="none"/>
          <w:lang w:val="en-US" w:eastAsia="zh-CN" w:bidi="ar"/>
        </w:rPr>
        <w:t>熊出没酒店项目施工图审查服务</w:t>
      </w:r>
    </w:p>
    <w:p>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pPr>
        <w:pStyle w:val="41"/>
        <w:rPr>
          <w:rFonts w:hint="eastAsia"/>
          <w:color w:val="auto"/>
          <w:lang w:eastAsia="zh-CN"/>
        </w:rPr>
      </w:pPr>
    </w:p>
    <w:p>
      <w:pPr>
        <w:spacing w:line="360" w:lineRule="auto"/>
        <w:rPr>
          <w:rFonts w:ascii="宋体" w:hAnsi="宋体"/>
          <w:color w:val="auto"/>
          <w:sz w:val="24"/>
        </w:rPr>
      </w:pPr>
    </w:p>
    <w:p>
      <w:pPr>
        <w:pStyle w:val="19"/>
        <w:rPr>
          <w:color w:val="auto"/>
        </w:rPr>
      </w:pPr>
    </w:p>
    <w:p>
      <w:pPr>
        <w:spacing w:line="360" w:lineRule="auto"/>
        <w:rPr>
          <w:rFonts w:ascii="宋体" w:hAnsi="宋体"/>
          <w:color w:val="auto"/>
          <w:sz w:val="24"/>
        </w:rPr>
      </w:pPr>
    </w:p>
    <w:p>
      <w:pPr>
        <w:spacing w:line="360" w:lineRule="auto"/>
        <w:jc w:val="center"/>
        <w:rPr>
          <w:rFonts w:ascii="黑体" w:hAnsi="黑体" w:eastAsia="黑体" w:cs="黑体"/>
          <w:b/>
          <w:bCs/>
          <w:color w:val="auto"/>
          <w:sz w:val="56"/>
          <w:szCs w:val="56"/>
        </w:rPr>
      </w:pPr>
      <w:r>
        <w:rPr>
          <w:rFonts w:hint="eastAsia" w:ascii="黑体" w:hAnsi="黑体" w:eastAsia="黑体" w:cs="黑体"/>
          <w:b/>
          <w:bCs/>
          <w:color w:val="auto"/>
          <w:sz w:val="56"/>
          <w:szCs w:val="56"/>
          <w:lang w:val="en-US" w:eastAsia="zh-CN"/>
        </w:rPr>
        <w:t>公开询价采购</w:t>
      </w:r>
      <w:r>
        <w:rPr>
          <w:rFonts w:hint="eastAsia" w:ascii="黑体" w:hAnsi="黑体" w:eastAsia="黑体" w:cs="黑体"/>
          <w:b/>
          <w:bCs/>
          <w:color w:val="auto"/>
          <w:sz w:val="56"/>
          <w:szCs w:val="56"/>
        </w:rPr>
        <w:t>文件</w:t>
      </w:r>
      <w:r>
        <w:rPr>
          <w:rFonts w:hint="eastAsia" w:ascii="黑体" w:hAnsi="黑体" w:eastAsia="黑体" w:cs="黑体"/>
          <w:b/>
          <w:bCs/>
          <w:color w:val="auto"/>
          <w:sz w:val="56"/>
          <w:szCs w:val="56"/>
          <w:lang w:eastAsia="zh-CN"/>
        </w:rPr>
        <w:t>(第三次)</w:t>
      </w:r>
    </w:p>
    <w:p>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pPr>
        <w:spacing w:line="360" w:lineRule="auto"/>
        <w:rPr>
          <w:rFonts w:ascii="宋体" w:hAnsi="宋体"/>
          <w:color w:val="auto"/>
          <w:sz w:val="24"/>
        </w:rPr>
      </w:pPr>
    </w:p>
    <w:p>
      <w:pPr>
        <w:pStyle w:val="19"/>
        <w:rPr>
          <w:rFonts w:ascii="宋体" w:hAnsi="宋体"/>
          <w:color w:val="auto"/>
          <w:sz w:val="24"/>
        </w:rPr>
      </w:pPr>
    </w:p>
    <w:p>
      <w:pPr>
        <w:rPr>
          <w:color w:val="auto"/>
        </w:rPr>
      </w:pPr>
    </w:p>
    <w:p>
      <w:pPr>
        <w:spacing w:line="360" w:lineRule="auto"/>
        <w:rPr>
          <w:rFonts w:ascii="宋体" w:hAnsi="宋体"/>
          <w:color w:val="auto"/>
          <w:sz w:val="24"/>
        </w:rPr>
      </w:pP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26" w:firstLineChars="600"/>
        <w:jc w:val="center"/>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0"/>
          <w:sz w:val="32"/>
          <w:szCs w:val="32"/>
          <w:u w:val="single"/>
          <w:lang w:val="en-US" w:eastAsia="zh-CN" w:bidi="ar"/>
        </w:rPr>
        <w:t>赣州华昕旅游发展有限公司章贡区酒店分公司</w:t>
      </w:r>
    </w:p>
    <w:p>
      <w:pPr>
        <w:pStyle w:val="19"/>
        <w:keepNext w:val="0"/>
        <w:keepLines w:val="0"/>
        <w:pageBreakBefore w:val="0"/>
        <w:widowControl w:val="0"/>
        <w:kinsoku/>
        <w:wordWrap/>
        <w:overflowPunct/>
        <w:topLinePunct w:val="0"/>
        <w:autoSpaceDE/>
        <w:autoSpaceDN/>
        <w:bidi w:val="0"/>
        <w:snapToGrid/>
        <w:spacing w:after="0" w:line="720" w:lineRule="exact"/>
        <w:ind w:firstLine="1826"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 xml:space="preserve"> 2024</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02</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08</w:t>
      </w:r>
      <w:r>
        <w:rPr>
          <w:rFonts w:hint="eastAsia" w:ascii="宋体" w:hAnsi="宋体"/>
          <w:b/>
          <w:bCs/>
          <w:color w:val="auto"/>
          <w:w w:val="95"/>
          <w:sz w:val="32"/>
          <w:szCs w:val="32"/>
          <w:lang w:val="en-US" w:eastAsia="zh-CN"/>
        </w:rPr>
        <w:t>日</w:t>
      </w:r>
    </w:p>
    <w:p>
      <w:pPr>
        <w:spacing w:line="720" w:lineRule="exact"/>
        <w:ind w:firstLine="1826" w:firstLineChars="600"/>
        <w:jc w:val="left"/>
        <w:rPr>
          <w:rFonts w:ascii="宋体" w:hAnsi="宋体"/>
          <w:b/>
          <w:color w:val="auto"/>
          <w:sz w:val="24"/>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 xml:space="preserve">18279725580 </w:t>
      </w:r>
      <w:r>
        <w:rPr>
          <w:rFonts w:hint="default" w:ascii="宋体" w:hAnsi="宋体"/>
          <w:b/>
          <w:bCs/>
          <w:color w:val="auto"/>
          <w:w w:val="95"/>
          <w:sz w:val="32"/>
          <w:szCs w:val="32"/>
          <w:u w:val="single"/>
          <w:lang w:eastAsia="zh-CN"/>
        </w:rPr>
        <w:t xml:space="preserve"> </w:t>
      </w:r>
    </w:p>
    <w:p>
      <w:pPr>
        <w:pStyle w:val="2"/>
        <w:numPr>
          <w:ilvl w:val="-1"/>
          <w:numId w:val="0"/>
        </w:numPr>
      </w:pPr>
    </w:p>
    <w:p>
      <w:pPr>
        <w:rPr>
          <w:color w:val="auto"/>
        </w:rPr>
      </w:pPr>
    </w:p>
    <w:p>
      <w:pPr>
        <w:numPr>
          <w:ilvl w:val="-1"/>
          <w:numId w:val="0"/>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sdtPr>
      <w:sdtEndPr>
        <w:rPr>
          <w:rFonts w:ascii="宋体" w:hAnsi="宋体" w:eastAsia="宋体" w:cstheme="minorBidi"/>
          <w:b/>
          <w:color w:val="auto"/>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8</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18</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19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20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21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四、</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五、</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六、</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25</w:t>
          </w:r>
          <w:r>
            <w:rPr>
              <w:color w:val="auto"/>
            </w:rPr>
            <w:fldChar w:fldCharType="end"/>
          </w:r>
          <w:r>
            <w:rPr>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格式6-</w:t>
          </w:r>
          <w:r>
            <w:rPr>
              <w:rFonts w:hint="default" w:ascii="楷体" w:hAnsi="楷体" w:eastAsia="楷体" w:cs="楷体"/>
              <w:b w:val="0"/>
              <w:bCs/>
              <w:color w:val="auto"/>
              <w:szCs w:val="32"/>
              <w:lang w:eastAsia="zh-CN"/>
            </w:rPr>
            <w:t>3</w:t>
          </w:r>
          <w:r>
            <w:rPr>
              <w:rFonts w:hint="eastAsia" w:ascii="楷体" w:hAnsi="楷体" w:eastAsia="楷体" w:cs="楷体"/>
              <w:b w:val="0"/>
              <w:bCs/>
              <w:color w:val="auto"/>
              <w:szCs w:val="32"/>
              <w:lang w:val="en-US" w:eastAsia="zh-CN"/>
            </w:rPr>
            <w:t xml:space="preserve">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rPr>
              <w:color w:val="auto"/>
            </w:rPr>
          </w:pPr>
          <w:r>
            <w:rPr>
              <w:b/>
              <w:color w:val="auto"/>
            </w:rPr>
            <w:fldChar w:fldCharType="end"/>
          </w:r>
        </w:p>
      </w:sdtContent>
    </w:sdt>
    <w:p>
      <w:pPr>
        <w:spacing w:line="360" w:lineRule="auto"/>
        <w:jc w:val="center"/>
        <w:outlineLvl w:val="0"/>
        <w:rPr>
          <w:rFonts w:hint="default" w:ascii="Times New Roman" w:hAnsi="Times New Roman" w:eastAsia="黑体"/>
          <w:bCs/>
          <w:color w:val="auto"/>
          <w:sz w:val="32"/>
          <w:szCs w:val="32"/>
          <w:lang w:val="en-US" w:eastAsia="zh-CN"/>
        </w:rPr>
      </w:pPr>
      <w:bookmarkStart w:id="1"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default" w:ascii="仿宋_GB2312" w:hAnsi="Calibri" w:eastAsia="仿宋_GB2312" w:cs="仿宋_GB2312"/>
          <w:kern w:val="2"/>
          <w:sz w:val="32"/>
          <w:szCs w:val="32"/>
          <w:u w:val="single"/>
          <w:lang w:val="en-US" w:eastAsia="zh-CN" w:bidi="ar"/>
        </w:rPr>
        <w:t xml:space="preserve"> 熊出没酒店项目施工图审查服务 </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1" w:firstLineChars="200"/>
        <w:jc w:val="left"/>
        <w:outlineLvl w:val="1"/>
        <w:rPr>
          <w:rFonts w:hint="eastAsia" w:ascii="楷体" w:hAnsi="楷体" w:eastAsia="楷体" w:cs="楷体"/>
          <w:b/>
          <w:bCs/>
          <w:color w:val="auto"/>
          <w:sz w:val="32"/>
          <w:szCs w:val="32"/>
          <w:lang w:val="en-US" w:eastAsia="zh-Hans"/>
        </w:rPr>
      </w:pPr>
      <w:bookmarkStart w:id="2" w:name="_Toc31894"/>
      <w:bookmarkStart w:id="3" w:name="_Toc31733"/>
      <w:bookmarkStart w:id="4" w:name="_Toc22537"/>
      <w:bookmarkStart w:id="5" w:name="_Toc27893"/>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6"/>
      <w:r>
        <w:rPr>
          <w:rFonts w:hint="default" w:ascii="仿宋_GB2312" w:hAnsi="Calibri" w:eastAsia="仿宋_GB2312" w:cs="仿宋_GB2312"/>
          <w:kern w:val="2"/>
          <w:sz w:val="32"/>
          <w:szCs w:val="32"/>
          <w:u w:val="single"/>
          <w:lang w:val="en-US" w:eastAsia="zh-CN" w:bidi="ar"/>
        </w:rPr>
        <w:t xml:space="preserve"> 熊出没酒店项目施工图审查服务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default" w:ascii="仿宋_GB2312" w:hAnsi="Calibri" w:eastAsia="仿宋_GB2312" w:cs="仿宋_GB2312"/>
          <w:kern w:val="2"/>
          <w:sz w:val="32"/>
          <w:szCs w:val="32"/>
          <w:u w:val="single"/>
          <w:lang w:val="en-US" w:eastAsia="zh-CN" w:bidi="ar"/>
        </w:rPr>
        <w:t xml:space="preserve"> 熊出没酒店项目位于赣州市章贡区水西镇东江源大道以东、玉虹一路以北。项目占地约39103.3平方米（约58.65亩），总建筑面积60103.02平方米，其中总计容建筑面积50259.52平方米，地下建筑面积10041.5平方米。是集住宿、餐饮、宴会、会议、度假功能于一体的多功能、体验式高端度假型酒店。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default" w:ascii="仿宋_GB2312" w:hAnsi="Calibri" w:eastAsia="仿宋_GB2312" w:cs="仿宋_GB2312"/>
          <w:kern w:val="2"/>
          <w:sz w:val="32"/>
          <w:szCs w:val="32"/>
          <w:u w:val="single"/>
          <w:lang w:val="en-US" w:eastAsia="zh-CN" w:bidi="ar"/>
        </w:rPr>
        <w:t xml:space="preserve"> 20个日历天（以采购人通知为准）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default" w:ascii="仿宋_GB2312" w:hAnsi="Calibri" w:eastAsia="仿宋_GB2312" w:cs="仿宋_GB2312"/>
          <w:kern w:val="2"/>
          <w:sz w:val="32"/>
          <w:szCs w:val="32"/>
          <w:u w:val="single"/>
          <w:lang w:val="en-US" w:eastAsia="zh-CN" w:bidi="ar"/>
        </w:rPr>
        <w:t xml:space="preserve"> 本项目涉及的范围为熊出没酒店项目，服务项目用地面积为39103.3平方米，建筑面积约为60103.02平方米。审查内容包括但不限于：工程勘探、</w:t>
      </w:r>
      <w:r>
        <w:rPr>
          <w:rFonts w:hint="default" w:ascii="仿宋_GB2312" w:hAnsi="Calibri" w:eastAsia="仿宋_GB2312" w:cs="仿宋_GB2312"/>
          <w:i w:val="0"/>
          <w:iCs w:val="0"/>
          <w:caps w:val="0"/>
          <w:spacing w:val="0"/>
          <w:kern w:val="2"/>
          <w:sz w:val="32"/>
          <w:szCs w:val="32"/>
          <w:u w:val="single"/>
          <w:lang w:val="en-US" w:eastAsia="zh-CN" w:bidi="ar"/>
        </w:rPr>
        <w:t>房屋建筑</w:t>
      </w:r>
      <w:r>
        <w:rPr>
          <w:rFonts w:hint="default" w:ascii="仿宋_GB2312" w:hAnsi="Calibri" w:eastAsia="仿宋_GB2312" w:cs="仿宋_GB2312"/>
          <w:kern w:val="2"/>
          <w:sz w:val="32"/>
          <w:szCs w:val="32"/>
          <w:u w:val="single"/>
          <w:lang w:val="en-US" w:eastAsia="zh-CN" w:bidi="ar"/>
        </w:rPr>
        <w:t xml:space="preserve"> 、消防专项、人防工程、装修工程、装配式建筑、幕墙、绿建、强弱电、绿化、硬化、亮化、配套工程、</w:t>
      </w:r>
      <w:r>
        <w:rPr>
          <w:rFonts w:hint="default" w:ascii="仿宋_GB2312" w:hAnsi="Calibri" w:eastAsia="仿宋_GB2312" w:cs="仿宋_GB2312"/>
          <w:i w:val="0"/>
          <w:iCs w:val="0"/>
          <w:caps w:val="0"/>
          <w:spacing w:val="0"/>
          <w:kern w:val="2"/>
          <w:sz w:val="32"/>
          <w:szCs w:val="32"/>
          <w:u w:val="single"/>
          <w:lang w:val="en-US" w:eastAsia="zh-CN" w:bidi="ar"/>
        </w:rPr>
        <w:t>基坑专项、防雷专项、抗震专项、节能专项</w:t>
      </w:r>
      <w:r>
        <w:rPr>
          <w:rFonts w:hint="default" w:ascii="仿宋_GB2312" w:hAnsi="Calibri" w:eastAsia="仿宋_GB2312" w:cs="仿宋_GB2312"/>
          <w:kern w:val="2"/>
          <w:sz w:val="32"/>
          <w:szCs w:val="32"/>
          <w:u w:val="single"/>
          <w:lang w:val="en-US" w:eastAsia="zh-CN" w:bidi="ar"/>
        </w:rPr>
        <w:t>等。涉及建筑、结构、给排水（含消防）、电气、</w:t>
      </w:r>
      <w:r>
        <w:rPr>
          <w:rFonts w:hint="default" w:ascii="仿宋_GB2312" w:hAnsi="Calibri" w:eastAsia="仿宋_GB2312" w:cs="仿宋_GB2312"/>
          <w:i w:val="0"/>
          <w:iCs w:val="0"/>
          <w:caps w:val="0"/>
          <w:spacing w:val="0"/>
          <w:kern w:val="2"/>
          <w:sz w:val="32"/>
          <w:szCs w:val="32"/>
          <w:u w:val="single"/>
          <w:lang w:val="en-US" w:eastAsia="zh-CN" w:bidi="ar"/>
        </w:rPr>
        <w:t>暖通</w:t>
      </w:r>
      <w:r>
        <w:rPr>
          <w:rFonts w:hint="default" w:ascii="仿宋_GB2312" w:hAnsi="Calibri" w:eastAsia="仿宋_GB2312" w:cs="仿宋_GB2312"/>
          <w:kern w:val="2"/>
          <w:sz w:val="32"/>
          <w:szCs w:val="32"/>
          <w:u w:val="single"/>
          <w:lang w:val="en-US" w:eastAsia="zh-CN" w:bidi="ar"/>
        </w:rPr>
        <w:t xml:space="preserve"> 、市政道路、景观等该项目所有专业范围。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6.最高含税限价：</w:t>
      </w:r>
      <w:bookmarkEnd w:id="7"/>
      <w:r>
        <w:rPr>
          <w:rFonts w:hint="default" w:ascii="仿宋_GB2312" w:hAnsi="Calibri" w:eastAsia="仿宋_GB2312" w:cs="仿宋_GB2312"/>
          <w:kern w:val="2"/>
          <w:sz w:val="32"/>
          <w:szCs w:val="32"/>
          <w:u w:val="single"/>
          <w:lang w:val="en-US" w:eastAsia="zh-CN" w:bidi="ar"/>
        </w:rPr>
        <w:t>200300</w:t>
      </w:r>
      <w:r>
        <w:rPr>
          <w:rFonts w:hint="default" w:ascii="仿宋_GB2312" w:hAnsi="Calibri" w:eastAsia="仿宋_GB2312" w:cs="仿宋_GB2312"/>
          <w:kern w:val="2"/>
          <w:sz w:val="32"/>
          <w:szCs w:val="32"/>
          <w:lang w:val="en-US" w:eastAsia="zh-CN" w:bidi="ar"/>
        </w:rPr>
        <w:t>元 ，</w:t>
      </w:r>
      <w:r>
        <w:rPr>
          <w:rFonts w:hint="default" w:ascii="仿宋_GB2312" w:hAnsi="Calibri" w:eastAsia="仿宋_GB2312" w:cs="仿宋_GB2312"/>
          <w:b w:val="0"/>
          <w:bCs w:val="0"/>
          <w:i w:val="0"/>
          <w:iCs w:val="0"/>
          <w:caps w:val="0"/>
          <w:spacing w:val="0"/>
          <w:kern w:val="2"/>
          <w:sz w:val="32"/>
          <w:szCs w:val="32"/>
          <w:lang w:val="en-US" w:eastAsia="zh-CN" w:bidi="ar"/>
        </w:rPr>
        <w:t>供应商的含税报价不得高于最高含税限价,否则其</w:t>
      </w:r>
      <w:r>
        <w:rPr>
          <w:rFonts w:hint="default" w:ascii="仿宋_GB2312" w:hAnsi="Calibri" w:eastAsia="仿宋_GB2312" w:cs="仿宋_GB2312"/>
          <w:b w:val="0"/>
          <w:bCs w:val="0"/>
          <w:kern w:val="2"/>
          <w:sz w:val="32"/>
          <w:szCs w:val="32"/>
          <w:lang w:val="en-US" w:eastAsia="zh-CN" w:bidi="ar"/>
        </w:rPr>
        <w:t>响应将判定为无效响应处理。</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8" w:name="_Toc31181"/>
      <w:bookmarkStart w:id="9" w:name="_Toc3240"/>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default" w:ascii="仿宋_GB2312" w:hAnsi="Calibri" w:eastAsia="仿宋_GB2312" w:cs="仿宋_GB2312"/>
          <w:b w:val="0"/>
          <w:bCs w:val="0"/>
          <w:kern w:val="2"/>
          <w:sz w:val="32"/>
          <w:szCs w:val="32"/>
          <w:lang w:val="en-US" w:eastAsia="zh-CN" w:bidi="ar"/>
        </w:rPr>
        <w:t>具备承接本项目所需的</w:t>
      </w:r>
      <w:r>
        <w:rPr>
          <w:rFonts w:hint="default" w:ascii="仿宋_GB2312" w:hAnsi="Calibri" w:eastAsia="仿宋_GB2312" w:cs="仿宋_GB2312"/>
          <w:b/>
          <w:bCs/>
          <w:kern w:val="2"/>
          <w:sz w:val="32"/>
          <w:szCs w:val="32"/>
          <w:lang w:val="en-US" w:eastAsia="zh-CN" w:bidi="ar"/>
        </w:rPr>
        <w:t>施工图设计文件审查机构资质证书（审查业务范围包含房屋建筑工程一类）</w:t>
      </w:r>
      <w:r>
        <w:rPr>
          <w:rFonts w:hint="default" w:ascii="仿宋_GB2312" w:hAnsi="Calibri" w:eastAsia="仿宋_GB2312" w:cs="仿宋_GB2312"/>
          <w:b w:val="0"/>
          <w:bCs w:val="0"/>
          <w:kern w:val="2"/>
          <w:sz w:val="32"/>
          <w:szCs w:val="32"/>
          <w:lang w:val="en-US" w:eastAsia="zh-CN" w:bidi="ar"/>
        </w:rPr>
        <w:t>，并提供施工图审查服务人员</w:t>
      </w:r>
      <w:r>
        <w:rPr>
          <w:rFonts w:hint="default" w:ascii="仿宋_GB2312" w:hAnsi="Calibri" w:eastAsia="仿宋_GB2312" w:cs="仿宋_GB2312"/>
          <w:kern w:val="0"/>
          <w:sz w:val="32"/>
          <w:szCs w:val="32"/>
          <w:lang w:val="en-US" w:eastAsia="zh-CN" w:bidi="ar"/>
        </w:rPr>
        <w:t>。</w:t>
      </w:r>
    </w:p>
    <w:p>
      <w:pPr>
        <w:keepNext w:val="0"/>
        <w:keepLines w:val="0"/>
        <w:widowControl w:val="0"/>
        <w:suppressLineNumbers w:val="0"/>
        <w:spacing w:before="0" w:beforeAutospacing="0" w:after="0" w:afterAutospacing="0" w:line="520" w:lineRule="exact"/>
        <w:ind w:left="0" w:right="0" w:firstLine="640" w:firstLineChars="200"/>
        <w:jc w:val="both"/>
        <w:rPr>
          <w:rFonts w:hint="default" w:ascii="仿宋_GB2312" w:hAnsi="Calibri" w:eastAsia="仿宋_GB2312" w:cs="仿宋_GB2312"/>
          <w:kern w:val="0"/>
          <w:sz w:val="32"/>
          <w:szCs w:val="32"/>
        </w:rPr>
      </w:pPr>
      <w:r>
        <w:rPr>
          <w:rFonts w:hint="default" w:ascii="仿宋_GB2312" w:hAnsi="Calibri" w:eastAsia="仿宋_GB2312" w:cs="仿宋_GB2312"/>
          <w:kern w:val="0"/>
          <w:sz w:val="32"/>
          <w:szCs w:val="32"/>
          <w:lang w:val="en-US" w:eastAsia="zh-CN" w:bidi="ar"/>
        </w:rPr>
        <w:t>7.项目负责人须具有</w:t>
      </w:r>
      <w:r>
        <w:rPr>
          <w:rFonts w:hint="default" w:ascii="仿宋_GB2312" w:hAnsi="Calibri" w:eastAsia="仿宋_GB2312" w:cs="仿宋_GB2312"/>
          <w:b/>
          <w:bCs/>
          <w:kern w:val="0"/>
          <w:sz w:val="32"/>
          <w:szCs w:val="32"/>
          <w:lang w:val="en-US" w:eastAsia="zh-CN" w:bidi="ar"/>
        </w:rPr>
        <w:t>国家一级注册建筑师执业资格或具有国家一级注册结构工程师执业资格</w:t>
      </w:r>
      <w:r>
        <w:rPr>
          <w:rFonts w:hint="default" w:ascii="仿宋_GB2312" w:hAnsi="Calibri" w:eastAsia="仿宋_GB2312" w:cs="仿宋_GB2312"/>
          <w:kern w:val="0"/>
          <w:sz w:val="32"/>
          <w:szCs w:val="32"/>
          <w:lang w:val="en-US" w:eastAsia="zh-CN" w:bidi="ar"/>
        </w:rPr>
        <w:t>，注册证书上的注册单位须与响应供应商名称相一致，须为响应供应商正式职工，提供证书复印件加盖公章及响应供应商开标前连续6个月（2024年</w:t>
      </w:r>
      <w:r>
        <w:rPr>
          <w:rFonts w:hint="eastAsia" w:ascii="仿宋_GB2312" w:hAnsi="Calibri" w:eastAsia="仿宋_GB2312" w:cs="仿宋_GB2312"/>
          <w:kern w:val="0"/>
          <w:sz w:val="32"/>
          <w:szCs w:val="32"/>
          <w:lang w:val="en-US" w:eastAsia="zh-CN" w:bidi="ar"/>
        </w:rPr>
        <w:t>2</w:t>
      </w:r>
      <w:r>
        <w:rPr>
          <w:rFonts w:hint="default" w:ascii="仿宋_GB2312" w:hAnsi="Calibri" w:eastAsia="仿宋_GB2312" w:cs="仿宋_GB2312"/>
          <w:kern w:val="0"/>
          <w:sz w:val="32"/>
          <w:szCs w:val="32"/>
          <w:lang w:val="en-US" w:eastAsia="zh-CN" w:bidi="ar"/>
        </w:rPr>
        <w:t>月往前6个月）为其缴纳的社保证明</w:t>
      </w:r>
      <w:r>
        <w:rPr>
          <w:rFonts w:hint="default" w:ascii="仿宋_GB2312" w:hAnsi="Calibri" w:eastAsia="仿宋_GB2312" w:cs="仿宋_GB2312"/>
          <w:kern w:val="2"/>
          <w:sz w:val="32"/>
          <w:szCs w:val="32"/>
          <w:lang w:val="en-US" w:eastAsia="zh-CN" w:bidi="ar"/>
        </w:rPr>
        <w:t>（个人网上下载的含有社保部门电子印章的有效社保证明材料并加盖响应</w:t>
      </w:r>
      <w:r>
        <w:rPr>
          <w:rFonts w:hint="default" w:ascii="仿宋_GB2312" w:hAnsi="Calibri" w:eastAsia="仿宋_GB2312" w:cs="仿宋_GB2312"/>
          <w:kern w:val="0"/>
          <w:sz w:val="32"/>
          <w:szCs w:val="32"/>
          <w:lang w:val="en-US" w:eastAsia="zh-CN" w:bidi="ar"/>
        </w:rPr>
        <w:t>供应商</w:t>
      </w:r>
      <w:r>
        <w:rPr>
          <w:rFonts w:hint="default" w:ascii="仿宋_GB2312" w:hAnsi="Calibri" w:eastAsia="仿宋_GB2312" w:cs="仿宋_GB2312"/>
          <w:kern w:val="2"/>
          <w:sz w:val="32"/>
          <w:szCs w:val="32"/>
          <w:lang w:val="en-US" w:eastAsia="zh-CN" w:bidi="ar"/>
        </w:rPr>
        <w:t>公章）</w:t>
      </w:r>
      <w:r>
        <w:rPr>
          <w:rFonts w:hint="default" w:ascii="仿宋_GB2312" w:hAnsi="Calibri" w:eastAsia="仿宋_GB2312" w:cs="仿宋_GB2312"/>
          <w:kern w:val="0"/>
          <w:sz w:val="32"/>
          <w:szCs w:val="32"/>
          <w:lang w:val="en-US" w:eastAsia="zh-CN" w:bidi="ar"/>
        </w:rPr>
        <w:t>，并附本人第二代身份证（因工作单位变更不足6个月的，以社保证明中的变更时间为准）；</w:t>
      </w:r>
    </w:p>
    <w:p>
      <w:pPr>
        <w:keepNext w:val="0"/>
        <w:keepLines w:val="0"/>
        <w:widowControl w:val="0"/>
        <w:suppressLineNumbers w:val="0"/>
        <w:spacing w:before="0" w:beforeAutospacing="0" w:after="0" w:afterAutospacing="0" w:line="520" w:lineRule="exact"/>
        <w:ind w:left="0" w:right="0" w:firstLine="640" w:firstLineChars="200"/>
        <w:jc w:val="both"/>
        <w:rPr>
          <w:rFonts w:hint="default"/>
          <w:color w:val="auto"/>
          <w:u w:val="single"/>
          <w:lang w:val="en-US"/>
        </w:rPr>
      </w:pPr>
      <w:r>
        <w:rPr>
          <w:rFonts w:hint="default" w:ascii="仿宋_GB2312" w:hAnsi="Calibri" w:eastAsia="仿宋_GB2312" w:cs="仿宋_GB2312"/>
          <w:kern w:val="0"/>
          <w:sz w:val="32"/>
          <w:szCs w:val="32"/>
          <w:lang w:val="en-US" w:eastAsia="zh-CN" w:bidi="ar"/>
        </w:rPr>
        <w:t>8.需为</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江西住建云</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系统中登记单位，外埠来赣单位应在</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江西住建云</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上办理好有效的企业信息登记，并提供登记有效的查询结果截屏复印件加盖供应商单位公章。</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12" w:name="_Toc6352"/>
      <w:bookmarkStart w:id="13" w:name="_Toc30076"/>
      <w:bookmarkStart w:id="14" w:name="_Toc26361"/>
      <w:r>
        <w:rPr>
          <w:rFonts w:hint="eastAsia" w:ascii="楷体" w:hAnsi="楷体" w:eastAsia="楷体" w:cs="楷体"/>
          <w:b/>
          <w:bCs/>
          <w:color w:val="auto"/>
          <w:sz w:val="32"/>
          <w:szCs w:val="32"/>
          <w:lang w:val="en-US" w:eastAsia="zh-CN"/>
        </w:rPr>
        <w:t>拟派人员资格要求：</w:t>
      </w:r>
      <w:bookmarkEnd w:id="12"/>
      <w:bookmarkEnd w:id="13"/>
      <w:bookmarkEnd w:id="14"/>
    </w:p>
    <w:p>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kern w:val="2"/>
          <w:sz w:val="32"/>
          <w:szCs w:val="32"/>
          <w:highlight w:val="none"/>
          <w:u w:val="none"/>
          <w:lang w:val="en-US" w:eastAsia="zh-CN" w:bidi="ar"/>
        </w:rPr>
        <w:t>项目负责人须具有国家一级注册建筑师执业资格或具有国家一级注册结构工程师执业资格。</w:t>
      </w:r>
    </w:p>
    <w:p>
      <w:pPr>
        <w:keepNext w:val="0"/>
        <w:keepLines w:val="0"/>
        <w:pageBreakBefore w:val="0"/>
        <w:numPr>
          <w:ilvl w:val="0"/>
          <w:numId w:val="8"/>
        </w:numPr>
        <w:kinsoku/>
        <w:wordWrap/>
        <w:overflowPunct/>
        <w:topLinePunct w:val="0"/>
        <w:bidi w:val="0"/>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15" w:name="_Toc26856"/>
      <w:bookmarkStart w:id="16" w:name="_Toc12136"/>
      <w:bookmarkStart w:id="17" w:name="_Toc17066"/>
      <w:bookmarkStart w:id="18" w:name="_Toc28288"/>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邮件获取方式：</w:t>
      </w:r>
      <w:r>
        <w:rPr>
          <w:rFonts w:hint="eastAsia" w:ascii="仿宋_GB2312" w:hAnsi="仿宋_GB2312" w:eastAsia="仿宋_GB2312" w:cs="仿宋_GB2312"/>
          <w:color w:val="auto"/>
          <w:sz w:val="32"/>
          <w:szCs w:val="32"/>
          <w:highlight w:val="none"/>
          <w:u w:val="none"/>
          <w:lang w:val="en-US" w:eastAsia="zh-CN"/>
        </w:rPr>
        <w:t>供应商</w:t>
      </w:r>
      <w:r>
        <w:rPr>
          <w:rFonts w:hint="eastAsia" w:ascii="仿宋_GB2312" w:hAnsi="仿宋_GB2312" w:eastAsia="仿宋_GB2312" w:cs="仿宋_GB2312"/>
          <w:color w:val="auto"/>
          <w:sz w:val="32"/>
          <w:szCs w:val="32"/>
          <w:highlight w:val="none"/>
          <w:u w:val="none"/>
        </w:rPr>
        <w:t>需将报名项目名称、公司名称、联系人信息（姓名、电话、邮箱）通过电子邮件发送至采购人邮箱</w:t>
      </w:r>
      <w:r>
        <w:rPr>
          <w:rFonts w:hint="eastAsia" w:ascii="仿宋_GB2312" w:hAnsi="仿宋_GB2312" w:eastAsia="仿宋_GB2312" w:cs="仿宋_GB2312"/>
          <w:color w:val="auto"/>
          <w:sz w:val="32"/>
          <w:szCs w:val="32"/>
          <w:highlight w:val="none"/>
          <w:u w:val="none"/>
          <w:lang w:eastAsia="zh-CN"/>
        </w:rPr>
        <w:t>：</w:t>
      </w:r>
      <w:r>
        <w:rPr>
          <w:rFonts w:hint="default" w:ascii="仿宋_GB2312" w:hAnsi="Calibri" w:eastAsia="仿宋_GB2312" w:cs="仿宋_GB2312"/>
          <w:b w:val="0"/>
          <w:bCs w:val="0"/>
          <w:kern w:val="2"/>
          <w:sz w:val="32"/>
          <w:szCs w:val="32"/>
          <w:u w:val="single"/>
          <w:lang w:val="en-US" w:eastAsia="zh-CN" w:bidi="ar"/>
        </w:rPr>
        <w:t>lyghsjy2022@163.com</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rPr>
        <w:t>，采购人收到邮件后通过电子邮件发送</w:t>
      </w:r>
      <w:r>
        <w:rPr>
          <w:rFonts w:hint="eastAsia" w:ascii="仿宋_GB2312" w:hAnsi="仿宋_GB2312" w:eastAsia="仿宋_GB2312" w:cs="仿宋_GB2312"/>
          <w:color w:val="auto"/>
          <w:sz w:val="32"/>
          <w:szCs w:val="32"/>
          <w:highlight w:val="none"/>
          <w:u w:val="none"/>
          <w:lang w:val="en-US" w:eastAsia="zh-CN"/>
        </w:rPr>
        <w:t>询价文件</w:t>
      </w:r>
      <w:r>
        <w:rPr>
          <w:rFonts w:hint="eastAsia" w:ascii="仿宋_GB2312" w:hAnsi="仿宋_GB2312" w:eastAsia="仿宋_GB2312" w:cs="仿宋_GB2312"/>
          <w:color w:val="auto"/>
          <w:sz w:val="32"/>
          <w:szCs w:val="32"/>
          <w:highlight w:val="none"/>
          <w:u w:val="none"/>
        </w:rPr>
        <w:t>】。</w:t>
      </w:r>
    </w:p>
    <w:p>
      <w:pPr>
        <w:keepNext w:val="0"/>
        <w:keepLines w:val="0"/>
        <w:pageBreakBefore w:val="0"/>
        <w:numPr>
          <w:ilvl w:val="0"/>
          <w:numId w:val="8"/>
        </w:numPr>
        <w:kinsoku/>
        <w:wordWrap/>
        <w:overflowPunct/>
        <w:topLinePunct w:val="0"/>
        <w:bidi w:val="0"/>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20" w:name="_Toc1839"/>
      <w:bookmarkStart w:id="21" w:name="_Toc1062"/>
      <w:bookmarkStart w:id="22" w:name="_Toc2772"/>
      <w:r>
        <w:rPr>
          <w:rFonts w:hint="eastAsia" w:ascii="楷体" w:hAnsi="楷体" w:eastAsia="楷体" w:cs="楷体"/>
          <w:b/>
          <w:bCs/>
          <w:color w:val="auto"/>
          <w:sz w:val="32"/>
          <w:szCs w:val="32"/>
          <w:lang w:val="en-US" w:eastAsia="zh-CN"/>
        </w:rPr>
        <w:t>响应文件：</w:t>
      </w:r>
      <w:bookmarkEnd w:id="19"/>
      <w:bookmarkEnd w:id="20"/>
      <w:bookmarkEnd w:id="21"/>
      <w:bookmarkEnd w:id="22"/>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pPr>
        <w:keepNext w:val="0"/>
        <w:keepLines w:val="0"/>
        <w:pageBreakBefore w:val="0"/>
        <w:numPr>
          <w:ilvl w:val="0"/>
          <w:numId w:val="8"/>
        </w:numPr>
        <w:kinsoku/>
        <w:wordWrap/>
        <w:overflowPunct/>
        <w:topLinePunct w:val="0"/>
        <w:bidi w:val="0"/>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23" w:name="_Toc9960"/>
      <w:bookmarkStart w:id="24" w:name="_Toc6684"/>
      <w:bookmarkStart w:id="25" w:name="_Toc5175"/>
      <w:r>
        <w:rPr>
          <w:rFonts w:hint="eastAsia" w:ascii="楷体" w:hAnsi="楷体" w:eastAsia="楷体" w:cs="楷体"/>
          <w:b/>
          <w:bCs/>
          <w:color w:val="auto"/>
          <w:sz w:val="32"/>
          <w:szCs w:val="32"/>
          <w:lang w:val="en-US" w:eastAsia="zh-CN"/>
        </w:rPr>
        <w:t>现场踏勘：</w:t>
      </w:r>
      <w:bookmarkEnd w:id="23"/>
      <w:bookmarkEnd w:id="24"/>
      <w:bookmarkEnd w:id="25"/>
    </w:p>
    <w:p>
      <w:pPr>
        <w:keepNext w:val="0"/>
        <w:keepLines w:val="0"/>
        <w:pageBreakBefore w:val="0"/>
        <w:widowControl w:val="0"/>
        <w:numPr>
          <w:ilvl w:val="-1"/>
          <w:numId w:val="0"/>
        </w:numPr>
        <w:kinsoku/>
        <w:wordWrap/>
        <w:overflowPunct/>
        <w:topLinePunct w:val="0"/>
        <w:autoSpaceDE w:val="0"/>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22247"/>
      <w:bookmarkStart w:id="27" w:name="_Toc25551"/>
      <w:bookmarkStart w:id="28" w:name="_Toc12245"/>
      <w:bookmarkStart w:id="29" w:name="_Toc20948"/>
      <w:r>
        <w:rPr>
          <w:rFonts w:hint="eastAsia" w:ascii="仿宋_GB2312" w:hAnsi="仿宋_GB2312" w:eastAsia="仿宋_GB2312" w:cs="仿宋_GB2312"/>
          <w:color w:val="auto"/>
          <w:sz w:val="32"/>
          <w:szCs w:val="32"/>
          <w:lang w:val="en-US" w:eastAsia="zh-CN"/>
        </w:rPr>
        <w:t>供应商自行前往踏勘，</w:t>
      </w:r>
      <w:r>
        <w:rPr>
          <w:rFonts w:hint="default" w:ascii="仿宋_GB2312" w:hAnsi="Calibri" w:eastAsia="仿宋_GB2312" w:cs="仿宋_GB2312"/>
          <w:kern w:val="2"/>
          <w:sz w:val="32"/>
          <w:szCs w:val="32"/>
          <w:lang w:val="en-US" w:eastAsia="zh-CN" w:bidi="ar"/>
        </w:rPr>
        <w:t>踏勘联系人：</w:t>
      </w:r>
      <w:r>
        <w:rPr>
          <w:rFonts w:hint="default" w:ascii="仿宋_GB2312" w:hAnsi="Calibri" w:eastAsia="仿宋_GB2312" w:cs="仿宋_GB2312"/>
          <w:kern w:val="2"/>
          <w:sz w:val="32"/>
          <w:szCs w:val="32"/>
          <w:u w:val="single"/>
          <w:lang w:val="en-US" w:eastAsia="zh-CN" w:bidi="ar"/>
        </w:rPr>
        <w:t xml:space="preserve"> 肖工 </w:t>
      </w:r>
      <w:r>
        <w:rPr>
          <w:rFonts w:hint="default" w:ascii="仿宋_GB2312" w:hAnsi="Calibri" w:eastAsia="仿宋_GB2312" w:cs="仿宋_GB2312"/>
          <w:kern w:val="2"/>
          <w:sz w:val="32"/>
          <w:szCs w:val="32"/>
          <w:lang w:val="en-US" w:eastAsia="zh-CN" w:bidi="ar"/>
        </w:rPr>
        <w:t>，联系电话：</w:t>
      </w:r>
      <w:r>
        <w:rPr>
          <w:rFonts w:hint="default" w:ascii="仿宋_GB2312" w:hAnsi="Calibri" w:eastAsia="仿宋_GB2312" w:cs="仿宋_GB2312"/>
          <w:kern w:val="2"/>
          <w:sz w:val="32"/>
          <w:szCs w:val="32"/>
          <w:u w:val="single"/>
          <w:lang w:val="en-US" w:eastAsia="zh-CN" w:bidi="ar"/>
        </w:rPr>
        <w:t xml:space="preserve"> 18279725580  </w:t>
      </w:r>
      <w:bookmarkEnd w:id="26"/>
      <w:bookmarkEnd w:id="27"/>
      <w:bookmarkEnd w:id="28"/>
      <w:bookmarkEnd w:id="29"/>
    </w:p>
    <w:p>
      <w:pPr>
        <w:keepNext w:val="0"/>
        <w:keepLines w:val="0"/>
        <w:pageBreakBefore w:val="0"/>
        <w:numPr>
          <w:ilvl w:val="0"/>
          <w:numId w:val="8"/>
        </w:numPr>
        <w:kinsoku/>
        <w:wordWrap/>
        <w:overflowPunct/>
        <w:topLinePunct w:val="0"/>
        <w:bidi w:val="0"/>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30" w:name="_Toc736"/>
      <w:bookmarkStart w:id="31" w:name="_Toc25886"/>
      <w:bookmarkStart w:id="32" w:name="_Toc26105"/>
      <w:r>
        <w:rPr>
          <w:rFonts w:hint="eastAsia" w:ascii="楷体" w:hAnsi="楷体" w:eastAsia="楷体" w:cs="楷体"/>
          <w:b/>
          <w:bCs/>
          <w:color w:val="auto"/>
          <w:sz w:val="32"/>
          <w:szCs w:val="32"/>
          <w:lang w:val="en-US" w:eastAsia="zh-CN"/>
        </w:rPr>
        <w:t>询价文件澄清或答疑：</w:t>
      </w:r>
      <w:bookmarkEnd w:id="30"/>
      <w:bookmarkEnd w:id="31"/>
      <w:bookmarkEnd w:id="32"/>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1.供应商以书面形式对询价文件编制过程中存在的问题进行提问，将盖章扫描件发往采购人邮箱：</w:t>
      </w:r>
      <w:r>
        <w:rPr>
          <w:rFonts w:hint="default" w:ascii="仿宋_GB2312" w:hAnsi="Calibri" w:eastAsia="仿宋_GB2312" w:cs="仿宋_GB2312"/>
          <w:b w:val="0"/>
          <w:bCs w:val="0"/>
          <w:kern w:val="2"/>
          <w:sz w:val="32"/>
          <w:szCs w:val="32"/>
          <w:u w:val="single"/>
          <w:lang w:val="en-US" w:eastAsia="zh-CN" w:bidi="ar"/>
        </w:rPr>
        <w:t>lyghsjy2022@163.com</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u w:val="none"/>
          <w:lang w:val="en-US" w:eastAsia="zh-CN" w:bidi="ar"/>
        </w:rPr>
        <w:t>，截止至：</w:t>
      </w:r>
      <w:r>
        <w:rPr>
          <w:rFonts w:hint="eastAsia" w:ascii="仿宋_GB2312" w:hAnsi="仿宋_GB2312" w:eastAsia="仿宋_GB2312" w:cs="仿宋_GB2312"/>
          <w:color w:val="auto"/>
          <w:kern w:val="0"/>
          <w:sz w:val="32"/>
          <w:szCs w:val="32"/>
          <w:u w:val="single"/>
          <w:lang w:val="en-US" w:eastAsia="zh-CN" w:bidi="ar"/>
        </w:rPr>
        <w:t xml:space="preserve">  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02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08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17:30  </w:t>
      </w:r>
      <w:r>
        <w:rPr>
          <w:rFonts w:hint="eastAsia" w:ascii="仿宋_GB2312" w:hAnsi="仿宋_GB2312" w:eastAsia="仿宋_GB2312" w:cs="仿宋_GB2312"/>
          <w:color w:val="auto"/>
          <w:kern w:val="0"/>
          <w:sz w:val="32"/>
          <w:szCs w:val="32"/>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 xml:space="preserve">  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02</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09</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17:30  </w:t>
      </w:r>
      <w:r>
        <w:rPr>
          <w:rFonts w:hint="eastAsia" w:ascii="仿宋_GB2312" w:hAnsi="仿宋_GB2312" w:eastAsia="仿宋_GB2312" w:cs="仿宋_GB2312"/>
          <w:color w:val="auto"/>
          <w:kern w:val="0"/>
          <w:sz w:val="32"/>
          <w:szCs w:val="32"/>
          <w:u w:val="none"/>
          <w:lang w:val="en-US" w:eastAsia="zh-CN" w:bidi="ar"/>
        </w:rPr>
        <w:t>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1" w:firstLineChars="200"/>
        <w:jc w:val="left"/>
        <w:outlineLvl w:val="1"/>
        <w:rPr>
          <w:rFonts w:hint="eastAsia" w:ascii="楷体" w:hAnsi="楷体" w:eastAsia="楷体" w:cs="楷体"/>
          <w:b/>
          <w:bCs/>
          <w:color w:val="auto"/>
          <w:sz w:val="32"/>
          <w:szCs w:val="32"/>
          <w:lang w:val="en-US" w:eastAsia="zh-CN"/>
        </w:rPr>
      </w:pPr>
      <w:bookmarkStart w:id="33" w:name="_Toc31627"/>
      <w:bookmarkStart w:id="34" w:name="_Toc9026"/>
      <w:bookmarkStart w:id="35" w:name="_Toc10769"/>
      <w:bookmarkStart w:id="36" w:name="_Toc14039"/>
      <w:r>
        <w:rPr>
          <w:rFonts w:hint="eastAsia" w:ascii="楷体" w:hAnsi="楷体" w:eastAsia="楷体" w:cs="楷体"/>
          <w:b/>
          <w:bCs/>
          <w:color w:val="auto"/>
          <w:sz w:val="32"/>
          <w:szCs w:val="32"/>
          <w:lang w:val="en-US" w:eastAsia="zh-CN"/>
        </w:rPr>
        <w:t>询价时间、地点：</w:t>
      </w:r>
      <w:bookmarkEnd w:id="33"/>
      <w:bookmarkEnd w:id="34"/>
      <w:bookmarkEnd w:id="35"/>
      <w:bookmarkEnd w:id="3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 xml:space="preserve">  2024  </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 xml:space="preserve">  02 </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 xml:space="preserve"> 19  </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  10:00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1" w:firstLineChars="200"/>
        <w:jc w:val="left"/>
        <w:textAlignment w:val="auto"/>
        <w:outlineLvl w:val="1"/>
        <w:rPr>
          <w:rFonts w:hint="eastAsia" w:ascii="楷体" w:hAnsi="楷体" w:eastAsia="楷体" w:cs="楷体"/>
          <w:b/>
          <w:bCs/>
          <w:color w:val="auto"/>
          <w:sz w:val="32"/>
          <w:szCs w:val="32"/>
          <w:lang w:val="en-US" w:eastAsia="zh-CN"/>
        </w:rPr>
      </w:pPr>
      <w:bookmarkStart w:id="37" w:name="_Toc9726"/>
      <w:bookmarkStart w:id="38" w:name="_Toc7230"/>
      <w:bookmarkStart w:id="39" w:name="_Toc1966"/>
      <w:bookmarkStart w:id="40" w:name="_Toc31921"/>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7"/>
      <w:r>
        <w:rPr>
          <w:rFonts w:hint="eastAsia" w:ascii="楷体" w:hAnsi="楷体" w:eastAsia="楷体" w:cs="楷体"/>
          <w:b/>
          <w:bCs/>
          <w:color w:val="auto"/>
          <w:sz w:val="32"/>
          <w:szCs w:val="32"/>
          <w:lang w:val="en-US" w:eastAsia="zh-CN"/>
        </w:rPr>
        <w:t>：</w:t>
      </w:r>
      <w:bookmarkEnd w:id="38"/>
      <w:bookmarkEnd w:id="39"/>
      <w:bookmarkEnd w:id="40"/>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0</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1" w:name="_Toc1702"/>
      <w:bookmarkStart w:id="42" w:name="_Toc28407"/>
      <w:bookmarkStart w:id="43" w:name="_Toc20184"/>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项目询价保证金</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numPr>
          <w:ilvl w:val="0"/>
          <w:numId w:val="8"/>
        </w:numPr>
        <w:kinsoku/>
        <w:wordWrap/>
        <w:overflowPunct/>
        <w:topLinePunct w:val="0"/>
        <w:bidi w:val="0"/>
        <w:spacing w:line="520" w:lineRule="exact"/>
        <w:ind w:left="0" w:leftChars="0" w:firstLine="641" w:firstLineChars="200"/>
        <w:jc w:val="left"/>
        <w:outlineLvl w:val="1"/>
        <w:rPr>
          <w:rFonts w:hint="eastAsia" w:ascii="楷体" w:hAnsi="楷体" w:eastAsia="楷体" w:cs="楷体"/>
          <w:b/>
          <w:bCs/>
          <w:color w:val="auto"/>
          <w:sz w:val="32"/>
          <w:szCs w:val="32"/>
          <w:lang w:val="en-US" w:eastAsia="zh-Hans"/>
        </w:rPr>
      </w:pPr>
      <w:bookmarkStart w:id="44" w:name="_Toc16592"/>
      <w:bookmarkStart w:id="45" w:name="_Toc3380"/>
      <w:bookmarkStart w:id="46" w:name="_Toc5113"/>
      <w:bookmarkStart w:id="47" w:name="_Toc11861"/>
      <w:r>
        <w:rPr>
          <w:rFonts w:hint="eastAsia" w:ascii="楷体" w:hAnsi="楷体" w:eastAsia="楷体" w:cs="楷体"/>
          <w:b/>
          <w:bCs/>
          <w:color w:val="auto"/>
          <w:sz w:val="32"/>
          <w:szCs w:val="32"/>
          <w:lang w:val="en-US" w:eastAsia="zh-Hans"/>
        </w:rPr>
        <w:t>联系方式：</w:t>
      </w:r>
      <w:bookmarkEnd w:id="44"/>
      <w:bookmarkEnd w:id="45"/>
      <w:bookmarkEnd w:id="46"/>
      <w:bookmarkEnd w:id="47"/>
    </w:p>
    <w:p>
      <w:pPr>
        <w:keepNext w:val="0"/>
        <w:keepLines w:val="0"/>
        <w:widowControl w:val="0"/>
        <w:suppressLineNumbers w:val="0"/>
        <w:spacing w:before="0" w:beforeAutospacing="0" w:after="0" w:afterAutospacing="0" w:line="520" w:lineRule="exact"/>
        <w:ind w:left="2238" w:leftChars="304" w:right="0" w:hanging="1600" w:hangingChars="5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采购人：</w:t>
      </w:r>
      <w:r>
        <w:rPr>
          <w:rFonts w:hint="default" w:ascii="仿宋_GB2312" w:hAnsi="Calibri" w:eastAsia="仿宋_GB2312" w:cs="仿宋_GB2312"/>
          <w:bCs/>
          <w:kern w:val="2"/>
          <w:sz w:val="32"/>
          <w:szCs w:val="32"/>
          <w:u w:val="single"/>
          <w:lang w:val="en-US" w:eastAsia="zh-CN" w:bidi="ar"/>
        </w:rPr>
        <w:t xml:space="preserve"> 赣州华昕旅游发展有限公司章贡区酒店分公司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地    址：</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江西省赣州市水南镇赣江源大道15号</w:t>
      </w:r>
      <w:r>
        <w:rPr>
          <w:rFonts w:hint="default" w:ascii="仿宋_GB2312" w:hAnsi="Calibri" w:eastAsia="仿宋_GB2312" w:cs="仿宋_GB2312"/>
          <w:bCs/>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 系 人：</w:t>
      </w:r>
      <w:r>
        <w:rPr>
          <w:rFonts w:hint="default" w:ascii="仿宋_GB2312" w:hAnsi="Calibri" w:eastAsia="仿宋_GB2312" w:cs="仿宋_GB2312"/>
          <w:bCs/>
          <w:kern w:val="2"/>
          <w:sz w:val="32"/>
          <w:szCs w:val="32"/>
          <w:u w:val="single"/>
          <w:lang w:val="en-US" w:eastAsia="zh-CN" w:bidi="ar"/>
        </w:rPr>
        <w:t xml:space="preserve">  肖工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联系方式：</w:t>
      </w:r>
      <w:r>
        <w:rPr>
          <w:rFonts w:hint="default" w:ascii="仿宋_GB2312" w:hAnsi="Calibri" w:eastAsia="仿宋_GB2312" w:cs="仿宋_GB2312"/>
          <w:bCs/>
          <w:kern w:val="2"/>
          <w:sz w:val="32"/>
          <w:szCs w:val="32"/>
          <w:u w:val="single"/>
          <w:lang w:val="en-US" w:eastAsia="zh-CN" w:bidi="ar"/>
        </w:rPr>
        <w:t xml:space="preserve">  18279725580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Times New Roman" w:hAnsi="黑体" w:eastAsia="黑体"/>
          <w:b/>
          <w:bCs w:val="0"/>
          <w:color w:val="auto"/>
          <w:sz w:val="32"/>
          <w:szCs w:val="32"/>
        </w:rPr>
      </w:pPr>
      <w:bookmarkStart w:id="48" w:name="_Toc5517"/>
      <w:bookmarkStart w:id="49" w:name="_Toc6233"/>
      <w:bookmarkStart w:id="50" w:name="_Toc27978"/>
      <w:bookmarkStart w:id="51" w:name="_Toc1662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8"/>
      <w:bookmarkEnd w:id="49"/>
      <w:bookmarkEnd w:id="50"/>
      <w:bookmarkEnd w:id="5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rPr>
      </w:pPr>
      <w:bookmarkStart w:id="52" w:name="_Toc15458"/>
      <w:bookmarkStart w:id="53" w:name="_Toc17731"/>
      <w:bookmarkStart w:id="54"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2"/>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55" w:name="_Toc14554"/>
      <w:bookmarkStart w:id="56" w:name="_Toc23099"/>
      <w:r>
        <w:rPr>
          <w:rFonts w:hint="eastAsia" w:ascii="楷体" w:hAnsi="楷体" w:eastAsia="楷体" w:cs="楷体"/>
          <w:b/>
          <w:bCs w:val="0"/>
          <w:color w:val="auto"/>
          <w:sz w:val="32"/>
          <w:szCs w:val="32"/>
          <w:lang w:val="en-US" w:eastAsia="zh-CN"/>
        </w:rPr>
        <w:t>2.定义</w:t>
      </w:r>
      <w:bookmarkEnd w:id="55"/>
      <w:bookmarkEnd w:id="56"/>
    </w:p>
    <w:p>
      <w:pPr>
        <w:keepNext w:val="0"/>
        <w:keepLines w:val="0"/>
        <w:pageBreakBefore w:val="0"/>
        <w:widowControl w:val="0"/>
        <w:kinsoku/>
        <w:wordWrap/>
        <w:overflowPunct/>
        <w:topLinePunct w:val="0"/>
        <w:autoSpaceDE w:val="0"/>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default" w:ascii="仿宋_GB2312" w:hAnsi="Calibri" w:eastAsia="仿宋_GB2312" w:cs="仿宋_GB2312"/>
          <w:bCs/>
          <w:kern w:val="2"/>
          <w:sz w:val="32"/>
          <w:szCs w:val="32"/>
          <w:lang w:val="en-US" w:eastAsia="zh-CN" w:bidi="ar"/>
        </w:rPr>
        <w:t>赣州华昕旅游发展有限公司章贡区酒店分公司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57" w:name="_Toc32497"/>
      <w:bookmarkStart w:id="58" w:name="_Toc19070"/>
      <w:r>
        <w:rPr>
          <w:rFonts w:hint="eastAsia" w:ascii="楷体" w:hAnsi="楷体" w:eastAsia="楷体" w:cs="楷体"/>
          <w:b/>
          <w:bCs w:val="0"/>
          <w:color w:val="auto"/>
          <w:sz w:val="32"/>
          <w:szCs w:val="32"/>
          <w:lang w:val="en-US" w:eastAsia="zh-CN"/>
        </w:rPr>
        <w:t>3.响应文件的构成</w:t>
      </w:r>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9" w:name="_Toc4003"/>
      <w:r>
        <w:rPr>
          <w:rFonts w:hint="eastAsia" w:ascii="仿宋_GB2312" w:hAnsi="仿宋_GB2312" w:eastAsia="仿宋_GB2312" w:cs="仿宋_GB2312"/>
          <w:color w:val="auto"/>
          <w:sz w:val="32"/>
          <w:szCs w:val="32"/>
        </w:rPr>
        <w:t>3.1提供法定代表人授权书；</w:t>
      </w:r>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0" w:name="_Toc29314"/>
      <w:r>
        <w:rPr>
          <w:rFonts w:hint="eastAsia" w:ascii="仿宋_GB2312" w:hAnsi="仿宋_GB2312" w:eastAsia="仿宋_GB2312" w:cs="仿宋_GB2312"/>
          <w:color w:val="auto"/>
          <w:sz w:val="32"/>
          <w:szCs w:val="32"/>
        </w:rPr>
        <w:t>3.2提供营业执照；</w:t>
      </w:r>
      <w:bookmarkEnd w:id="6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1"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2"/>
      <w:bookmarkStart w:id="63"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65" w:name="_Toc8898"/>
      <w:bookmarkStart w:id="66" w:name="_Toc9532"/>
      <w:r>
        <w:rPr>
          <w:rFonts w:hint="eastAsia" w:ascii="楷体" w:hAnsi="楷体" w:eastAsia="楷体" w:cs="楷体"/>
          <w:b/>
          <w:bCs w:val="0"/>
          <w:color w:val="auto"/>
          <w:sz w:val="32"/>
          <w:szCs w:val="32"/>
          <w:lang w:val="en-US" w:eastAsia="zh-CN"/>
        </w:rPr>
        <w:t>4.询价文件澄清</w:t>
      </w:r>
      <w:bookmarkEnd w:id="65"/>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67" w:name="_Toc2817"/>
      <w:bookmarkStart w:id="68" w:name="_Toc14236"/>
      <w:bookmarkStart w:id="69" w:name="_Toc18159"/>
      <w:r>
        <w:rPr>
          <w:rFonts w:hint="eastAsia" w:ascii="楷体" w:hAnsi="楷体" w:eastAsia="楷体" w:cs="楷体"/>
          <w:b/>
          <w:bCs w:val="0"/>
          <w:color w:val="auto"/>
          <w:sz w:val="32"/>
          <w:szCs w:val="32"/>
          <w:lang w:val="en-US" w:eastAsia="zh-CN"/>
        </w:rPr>
        <w:t>5.响应文件的递交</w:t>
      </w:r>
      <w:bookmarkEnd w:id="67"/>
      <w:bookmarkEnd w:id="6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70" w:name="_Toc26912"/>
      <w:bookmarkStart w:id="71" w:name="_Toc30046"/>
      <w:r>
        <w:rPr>
          <w:rFonts w:hint="eastAsia" w:ascii="楷体" w:hAnsi="楷体" w:eastAsia="楷体" w:cs="楷体"/>
          <w:b/>
          <w:bCs w:val="0"/>
          <w:color w:val="auto"/>
          <w:sz w:val="32"/>
          <w:szCs w:val="32"/>
          <w:lang w:val="en-US" w:eastAsia="zh-CN"/>
        </w:rPr>
        <w:t>6.开标仪式</w:t>
      </w:r>
      <w:bookmarkEnd w:id="70"/>
      <w:bookmarkEnd w:id="7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9"/>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72" w:name="_Toc26969"/>
      <w:bookmarkStart w:id="73" w:name="_Toc12905"/>
      <w:r>
        <w:rPr>
          <w:rFonts w:hint="eastAsia" w:ascii="楷体" w:hAnsi="楷体" w:eastAsia="楷体" w:cs="楷体"/>
          <w:b/>
          <w:bCs w:val="0"/>
          <w:color w:val="auto"/>
          <w:sz w:val="32"/>
          <w:szCs w:val="32"/>
          <w:lang w:val="en-US" w:eastAsia="zh-CN"/>
        </w:rPr>
        <w:t>7.成立评审小组</w:t>
      </w:r>
      <w:bookmarkEnd w:id="72"/>
      <w:bookmarkEnd w:id="7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5783"/>
      <w:bookmarkStart w:id="76"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5"/>
      <w:bookmarkEnd w:id="76"/>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lang w:val="en-US" w:eastAsia="zh-CN"/>
        </w:rPr>
      </w:pPr>
      <w:bookmarkStart w:id="77" w:name="_Toc17075"/>
      <w:bookmarkStart w:id="78" w:name="_Toc10511"/>
      <w:r>
        <w:rPr>
          <w:rFonts w:hint="eastAsia" w:ascii="楷体" w:hAnsi="楷体" w:eastAsia="楷体" w:cs="楷体"/>
          <w:b/>
          <w:bCs w:val="0"/>
          <w:color w:val="auto"/>
          <w:sz w:val="32"/>
          <w:szCs w:val="32"/>
          <w:lang w:val="en-US" w:eastAsia="zh-CN"/>
        </w:rPr>
        <w:t>9.错误修正</w:t>
      </w:r>
      <w:bookmarkEnd w:id="77"/>
      <w:bookmarkEnd w:id="7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1" w:firstLineChars="200"/>
        <w:textAlignment w:val="auto"/>
        <w:outlineLvl w:val="1"/>
        <w:rPr>
          <w:rFonts w:hint="eastAsia" w:ascii="楷体" w:hAnsi="楷体" w:eastAsia="楷体" w:cs="楷体"/>
          <w:b/>
          <w:bCs w:val="0"/>
          <w:color w:val="auto"/>
          <w:sz w:val="32"/>
          <w:szCs w:val="32"/>
          <w:lang w:val="en-US" w:eastAsia="zh-CN"/>
        </w:rPr>
      </w:pPr>
      <w:bookmarkStart w:id="79" w:name="_Toc16850"/>
      <w:bookmarkStart w:id="80" w:name="_Toc24360"/>
      <w:r>
        <w:rPr>
          <w:rFonts w:hint="eastAsia" w:ascii="楷体" w:hAnsi="楷体" w:eastAsia="楷体" w:cs="楷体"/>
          <w:b/>
          <w:bCs w:val="0"/>
          <w:color w:val="auto"/>
          <w:sz w:val="32"/>
          <w:szCs w:val="32"/>
          <w:lang w:val="en-US" w:eastAsia="zh-CN"/>
        </w:rPr>
        <w:t>10.询价</w:t>
      </w:r>
      <w:bookmarkEnd w:id="79"/>
      <w:bookmarkEnd w:id="8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 w:hAnsi="仿宋" w:eastAsia="仿宋" w:cs="仿宋"/>
          <w:color w:val="auto"/>
          <w:kern w:val="0"/>
          <w:sz w:val="32"/>
          <w:szCs w:val="32"/>
          <w:u w:val="single"/>
          <w:lang w:eastAsia="zh-CN"/>
        </w:rPr>
        <w:t>（</w:t>
      </w:r>
      <w:r>
        <w:rPr>
          <w:rFonts w:hint="eastAsia" w:ascii="仿宋" w:hAnsi="仿宋" w:eastAsia="仿宋" w:cs="仿宋"/>
          <w:color w:val="auto"/>
          <w:kern w:val="0"/>
          <w:sz w:val="32"/>
          <w:szCs w:val="32"/>
          <w:u w:val="single"/>
          <w:lang w:val="en-US" w:eastAsia="zh-CN"/>
        </w:rPr>
        <w:t>不含税报价</w:t>
      </w:r>
      <w:r>
        <w:rPr>
          <w:rFonts w:hint="eastAsia" w:ascii="仿宋" w:hAnsi="仿宋" w:eastAsia="仿宋" w:cs="仿宋"/>
          <w:color w:val="auto"/>
          <w:kern w:val="0"/>
          <w:sz w:val="32"/>
          <w:szCs w:val="32"/>
          <w:u w:val="single"/>
          <w:lang w:val="en-US" w:eastAsia="zh-Hans"/>
        </w:rPr>
        <w:t>最低者中</w:t>
      </w:r>
      <w:r>
        <w:rPr>
          <w:rFonts w:hint="eastAsia" w:ascii="仿宋" w:hAnsi="仿宋" w:eastAsia="仿宋" w:cs="仿宋"/>
          <w:color w:val="auto"/>
          <w:kern w:val="0"/>
          <w:sz w:val="32"/>
          <w:szCs w:val="32"/>
          <w:u w:val="single"/>
          <w:lang w:val="en-US" w:eastAsia="zh-CN"/>
        </w:rPr>
        <w:t>选</w:t>
      </w:r>
      <w:r>
        <w:rPr>
          <w:rFonts w:hint="eastAsia" w:ascii="仿宋" w:hAnsi="仿宋" w:eastAsia="仿宋" w:cs="仿宋"/>
          <w:color w:val="auto"/>
          <w:kern w:val="0"/>
          <w:sz w:val="32"/>
          <w:szCs w:val="32"/>
          <w:u w:val="single"/>
          <w:lang w:eastAsia="zh-Hans"/>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lang w:val="en-US" w:eastAsia="zh-CN"/>
        </w:rPr>
      </w:pPr>
      <w:bookmarkStart w:id="81" w:name="_Toc8054"/>
      <w:bookmarkStart w:id="82" w:name="_Toc12958"/>
      <w:r>
        <w:rPr>
          <w:rFonts w:hint="eastAsia" w:ascii="楷体" w:hAnsi="楷体" w:eastAsia="楷体" w:cs="楷体"/>
          <w:b/>
          <w:bCs w:val="0"/>
          <w:color w:val="auto"/>
          <w:sz w:val="32"/>
          <w:szCs w:val="32"/>
          <w:lang w:val="en-US" w:eastAsia="zh-CN"/>
        </w:rPr>
        <w:t>11.评审结果</w:t>
      </w:r>
      <w:bookmarkEnd w:id="81"/>
      <w:bookmarkEnd w:id="8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lang w:val="en-US" w:eastAsia="zh-CN"/>
        </w:rPr>
      </w:pPr>
      <w:bookmarkStart w:id="83" w:name="_Toc19625"/>
      <w:bookmarkStart w:id="84" w:name="_Toc1393"/>
      <w:r>
        <w:rPr>
          <w:rFonts w:hint="eastAsia" w:ascii="楷体" w:hAnsi="楷体" w:eastAsia="楷体" w:cs="楷体"/>
          <w:b/>
          <w:bCs w:val="0"/>
          <w:color w:val="auto"/>
          <w:sz w:val="32"/>
          <w:szCs w:val="32"/>
          <w:lang w:val="en-US" w:eastAsia="zh-CN"/>
        </w:rPr>
        <w:t>12.确定供应商</w:t>
      </w:r>
      <w:bookmarkEnd w:id="83"/>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lang w:val="en-US" w:eastAsia="zh-CN"/>
        </w:rPr>
      </w:pPr>
      <w:bookmarkStart w:id="85" w:name="_Toc21621"/>
      <w:bookmarkStart w:id="86" w:name="_Toc12989"/>
      <w:r>
        <w:rPr>
          <w:rFonts w:hint="eastAsia" w:ascii="楷体" w:hAnsi="楷体" w:eastAsia="楷体" w:cs="楷体"/>
          <w:b/>
          <w:bCs w:val="0"/>
          <w:color w:val="auto"/>
          <w:sz w:val="32"/>
          <w:szCs w:val="32"/>
          <w:lang w:val="en-US" w:eastAsia="zh-CN"/>
        </w:rPr>
        <w:t>13.发出成交通知书</w:t>
      </w:r>
      <w:bookmarkEnd w:id="85"/>
      <w:bookmarkEnd w:id="8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lang w:val="en-US" w:eastAsia="zh-CN"/>
        </w:rPr>
      </w:pPr>
      <w:bookmarkStart w:id="87" w:name="_Toc16820"/>
      <w:bookmarkStart w:id="88" w:name="_Toc14674"/>
      <w:r>
        <w:rPr>
          <w:rFonts w:hint="eastAsia" w:ascii="楷体" w:hAnsi="楷体" w:eastAsia="楷体" w:cs="楷体"/>
          <w:b/>
          <w:bCs w:val="0"/>
          <w:color w:val="auto"/>
          <w:sz w:val="32"/>
          <w:szCs w:val="32"/>
          <w:lang w:val="en-US" w:eastAsia="zh-CN"/>
        </w:rPr>
        <w:t>14.签订合同</w:t>
      </w:r>
      <w:bookmarkEnd w:id="87"/>
      <w:bookmarkEnd w:id="8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lang w:val="en-US" w:eastAsia="zh-CN"/>
        </w:rPr>
      </w:pPr>
      <w:bookmarkStart w:id="89" w:name="_Toc6333"/>
      <w:bookmarkStart w:id="90" w:name="_Toc13722"/>
      <w:r>
        <w:rPr>
          <w:rFonts w:hint="eastAsia" w:ascii="楷体" w:hAnsi="楷体" w:eastAsia="楷体" w:cs="楷体"/>
          <w:b/>
          <w:bCs w:val="0"/>
          <w:color w:val="auto"/>
          <w:sz w:val="32"/>
          <w:szCs w:val="32"/>
          <w:lang w:val="en-US" w:eastAsia="zh-CN"/>
        </w:rPr>
        <w:t>15.终止询价采购</w:t>
      </w:r>
      <w:bookmarkEnd w:id="89"/>
      <w:bookmarkEnd w:id="9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仿宋_GB2312" w:hAnsi="仿宋_GB2312" w:eastAsia="仿宋_GB2312" w:cs="仿宋_GB2312"/>
          <w:color w:val="auto"/>
          <w:sz w:val="32"/>
          <w:szCs w:val="32"/>
        </w:rPr>
      </w:pPr>
      <w:bookmarkStart w:id="91" w:name="_Toc28994"/>
      <w:bookmarkStart w:id="92"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1"/>
      <w:bookmarkEnd w:id="92"/>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3" w:name="_Toc25151"/>
      <w:bookmarkStart w:id="94" w:name="_Toc24837"/>
      <w:r>
        <w:rPr>
          <w:rFonts w:hint="eastAsia" w:ascii="楷体" w:hAnsi="楷体" w:eastAsia="楷体" w:cs="楷体"/>
          <w:b/>
          <w:bCs/>
          <w:color w:val="auto"/>
          <w:sz w:val="32"/>
          <w:szCs w:val="32"/>
          <w:lang w:val="en-US" w:eastAsia="zh-CN"/>
        </w:rPr>
        <w:t>一、商务要求</w:t>
      </w:r>
      <w:bookmarkEnd w:id="93"/>
      <w:bookmarkEnd w:id="94"/>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1312"/>
        <w:gridCol w:w="6453"/>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blCellSpacing w:w="0" w:type="dxa"/>
        </w:trPr>
        <w:tc>
          <w:tcPr>
            <w:tcW w:w="601"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3"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kern w:val="2"/>
                <w:sz w:val="24"/>
                <w:szCs w:val="24"/>
                <w:lang w:val="en-US" w:eastAsia="zh-CN" w:bidi="ar"/>
              </w:rPr>
              <w:t>赣州市章贡区水西镇东江源大道以东、玉虹一路以北</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Cs w:val="0"/>
                <w:kern w:val="2"/>
                <w:sz w:val="24"/>
                <w:szCs w:val="24"/>
                <w:lang w:val="en-US" w:eastAsia="zh-CN" w:bidi="ar"/>
              </w:rPr>
              <w:t>20个日历天（以采购人通知为准）。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bCs w:val="0"/>
                <w:kern w:val="2"/>
                <w:sz w:val="24"/>
                <w:szCs w:val="24"/>
                <w:lang w:val="en-US" w:eastAsia="zh-CN" w:bidi="ar"/>
              </w:rPr>
              <w:t>满足相关技术规范及技术要求。</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520" w:lineRule="exact"/>
              <w:ind w:left="0" w:leftChars="0" w:right="0" w:firstLine="0" w:firstLineChars="0"/>
              <w:jc w:val="center"/>
              <w:rPr>
                <w:rFonts w:hint="eastAsia" w:ascii="宋体" w:hAnsi="宋体" w:eastAsia="宋体" w:cs="宋体"/>
                <w:b w:val="0"/>
                <w:bCs/>
                <w:kern w:val="2"/>
                <w:sz w:val="24"/>
                <w:szCs w:val="24"/>
              </w:rPr>
            </w:pPr>
            <w:r>
              <w:rPr>
                <w:rFonts w:hint="eastAsia" w:ascii="宋体" w:hAnsi="宋体" w:eastAsia="宋体" w:cs="宋体"/>
                <w:b w:val="0"/>
                <w:bCs/>
                <w:kern w:val="2"/>
                <w:sz w:val="24"/>
                <w:szCs w:val="24"/>
                <w:lang w:val="en-US" w:eastAsia="zh-CN" w:bidi="ar"/>
              </w:rPr>
              <w:t>计价及</w:t>
            </w:r>
          </w:p>
          <w:p>
            <w:pPr>
              <w:keepNext w:val="0"/>
              <w:keepLines w:val="0"/>
              <w:widowControl w:val="0"/>
              <w:suppressLineNumbers w:val="0"/>
              <w:spacing w:before="0" w:beforeAutospacing="0" w:after="0" w:afterAutospacing="0"/>
              <w:ind w:left="0" w:right="0"/>
              <w:jc w:val="center"/>
              <w:rPr>
                <w:rFonts w:hint="default"/>
              </w:rPr>
            </w:pPr>
            <w:r>
              <w:rPr>
                <w:rFonts w:hint="eastAsia" w:ascii="宋体" w:hAnsi="宋体" w:eastAsia="宋体" w:cs="宋体"/>
                <w:b w:val="0"/>
                <w:bCs/>
                <w:kern w:val="2"/>
                <w:sz w:val="24"/>
                <w:szCs w:val="24"/>
                <w:lang w:val="en-US" w:eastAsia="zh-CN" w:bidi="ar"/>
              </w:rPr>
              <w:t>结算方式</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val="0"/>
                <w:bCs/>
                <w:color w:val="auto"/>
                <w:sz w:val="24"/>
                <w:szCs w:val="24"/>
              </w:rPr>
            </w:pP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宋体" w:hAnsi="宋体" w:eastAsia="宋体" w:cs="宋体"/>
                <w:bCs w:val="0"/>
                <w:kern w:val="2"/>
                <w:sz w:val="24"/>
                <w:szCs w:val="24"/>
                <w:lang w:val="en-US" w:eastAsia="zh-CN" w:bidi="ar"/>
              </w:rPr>
            </w:pPr>
            <w:r>
              <w:rPr>
                <w:rFonts w:hint="eastAsia" w:ascii="宋体" w:hAnsi="宋体" w:eastAsia="宋体" w:cs="宋体"/>
                <w:b w:val="0"/>
                <w:bCs w:val="0"/>
                <w:kern w:val="2"/>
                <w:sz w:val="24"/>
                <w:szCs w:val="24"/>
                <w:lang w:val="en-US" w:eastAsia="zh-CN" w:bidi="ar"/>
              </w:rPr>
              <w:t>本项目采用</w:t>
            </w:r>
            <w:r>
              <w:rPr>
                <w:rFonts w:hint="eastAsia" w:ascii="宋体" w:hAnsi="宋体" w:eastAsia="宋体" w:cs="宋体"/>
                <w:b/>
                <w:bCs/>
                <w:kern w:val="2"/>
                <w:sz w:val="24"/>
                <w:szCs w:val="24"/>
                <w:lang w:val="en-US" w:eastAsia="zh-CN" w:bidi="ar"/>
              </w:rPr>
              <w:t>固定综合单价</w:t>
            </w:r>
            <w:r>
              <w:rPr>
                <w:rFonts w:hint="eastAsia" w:ascii="宋体" w:hAnsi="宋体" w:eastAsia="宋体" w:cs="宋体"/>
                <w:b w:val="0"/>
                <w:bCs w:val="0"/>
                <w:kern w:val="2"/>
                <w:sz w:val="24"/>
                <w:szCs w:val="24"/>
                <w:lang w:val="en-US" w:eastAsia="zh-CN" w:bidi="ar"/>
              </w:rPr>
              <w:t>计价方式，结算服务金额=成交单价*设计施工图项目建筑面积（包含本项目范围内涉及的全部专业及地勘审查）。在已完成图纸审查及出具图审合格证的情况下，如图纸出现重大变更，图纸变更面积不超过整体面积10%的，不进行额外收费，超过10%的部分按合同综合单价计费。</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Cs w:val="0"/>
                <w:kern w:val="2"/>
                <w:sz w:val="24"/>
                <w:szCs w:val="24"/>
                <w:lang w:val="en-US" w:eastAsia="zh-CN" w:bidi="ar"/>
              </w:rPr>
              <w:t>施工图审查工作完成后，采购人支付至合同金额的95%；工程项目最终竣工验收合格后支付剩余尾款。中选人在付款前开具与应付款金额等额的</w:t>
            </w:r>
            <w:r>
              <w:rPr>
                <w:rFonts w:hint="eastAsia" w:ascii="宋体" w:hAnsi="宋体" w:eastAsia="宋体" w:cs="宋体"/>
                <w:b/>
                <w:bCs/>
                <w:kern w:val="2"/>
                <w:sz w:val="24"/>
                <w:szCs w:val="24"/>
                <w:lang w:val="en-US" w:eastAsia="zh-CN" w:bidi="ar"/>
              </w:rPr>
              <w:t>增值税专用发票</w:t>
            </w:r>
            <w:r>
              <w:rPr>
                <w:rFonts w:hint="eastAsia" w:ascii="宋体" w:hAnsi="宋体" w:eastAsia="宋体" w:cs="宋体"/>
                <w:bCs w:val="0"/>
                <w:kern w:val="2"/>
                <w:sz w:val="24"/>
                <w:szCs w:val="24"/>
                <w:lang w:val="en-US" w:eastAsia="zh-CN" w:bidi="ar"/>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人民币 </w:t>
            </w:r>
            <w:r>
              <w:rPr>
                <w:rFonts w:hint="eastAsia" w:asciiTheme="minorEastAsia" w:hAnsiTheme="minorEastAsia" w:eastAsiaTheme="minorEastAsia" w:cstheme="minorEastAsia"/>
                <w:color w:val="auto"/>
                <w:sz w:val="24"/>
                <w:szCs w:val="24"/>
              </w:rPr>
              <w:t>报价，</w:t>
            </w:r>
            <w:r>
              <w:rPr>
                <w:rFonts w:hint="eastAsia" w:ascii="宋体" w:hAnsi="宋体" w:eastAsia="宋体" w:cs="宋体"/>
                <w:b w:val="0"/>
                <w:bCs w:val="0"/>
                <w:kern w:val="2"/>
                <w:sz w:val="24"/>
                <w:szCs w:val="24"/>
                <w:lang w:val="en-US" w:eastAsia="zh-CN" w:bidi="ar"/>
              </w:rPr>
              <w:t>该报价</w:t>
            </w:r>
            <w:r>
              <w:rPr>
                <w:rFonts w:hint="eastAsia" w:ascii="宋体" w:hAnsi="宋体" w:eastAsia="宋体" w:cs="宋体"/>
                <w:bCs w:val="0"/>
                <w:kern w:val="2"/>
                <w:sz w:val="24"/>
                <w:szCs w:val="24"/>
                <w:lang w:val="en-US" w:eastAsia="zh-CN" w:bidi="ar"/>
              </w:rPr>
              <w:t>包含按照询价文件要求完成本项目施工图审查服务所需的人工劳务、设备工具、物料耗材、相关技术咨询服务等与施工图审查工作相关的一切费用。本项目采用</w:t>
            </w:r>
            <w:r>
              <w:rPr>
                <w:rFonts w:hint="eastAsia" w:ascii="宋体" w:hAnsi="宋体" w:eastAsia="宋体" w:cs="宋体"/>
                <w:b w:val="0"/>
                <w:bCs w:val="0"/>
                <w:kern w:val="2"/>
                <w:sz w:val="24"/>
                <w:szCs w:val="24"/>
                <w:lang w:val="en-US" w:eastAsia="zh-CN" w:bidi="ar"/>
              </w:rPr>
              <w:t>最低价格法</w:t>
            </w:r>
            <w:r>
              <w:rPr>
                <w:rFonts w:hint="eastAsia" w:ascii="宋体" w:hAnsi="宋体" w:eastAsia="宋体" w:cs="宋体"/>
                <w:kern w:val="2"/>
                <w:sz w:val="24"/>
                <w:szCs w:val="24"/>
                <w:lang w:val="en-US" w:eastAsia="zh-CN" w:bidi="ar"/>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8</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rPr>
            </w:pP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pPr>
        <w:pageBreakBefore w:val="0"/>
        <w:kinsoku/>
        <w:wordWrap/>
        <w:overflowPunct/>
        <w:topLinePunct w:val="0"/>
        <w:autoSpaceDE/>
        <w:autoSpaceDN/>
        <w:bidi w:val="0"/>
        <w:spacing w:line="520" w:lineRule="exact"/>
        <w:rPr>
          <w:rFonts w:hint="eastAsia" w:ascii="仿宋_GB2312" w:hAnsi="仿宋_GB2312" w:eastAsia="仿宋_GB2312" w:cs="仿宋_GB2312"/>
          <w:b/>
          <w:bCs/>
          <w:color w:val="auto"/>
          <w:sz w:val="32"/>
          <w:szCs w:val="32"/>
          <w:lang w:val="en-US" w:eastAsia="zh-CN"/>
        </w:rPr>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5" w:name="_Toc12082"/>
      <w:bookmarkStart w:id="96" w:name="_Toc5971"/>
      <w:r>
        <w:rPr>
          <w:rFonts w:hint="eastAsia" w:ascii="楷体" w:hAnsi="楷体" w:eastAsia="楷体" w:cs="楷体"/>
          <w:b/>
          <w:bCs/>
          <w:color w:val="auto"/>
          <w:sz w:val="32"/>
          <w:szCs w:val="32"/>
          <w:lang w:val="en-US" w:eastAsia="zh-CN"/>
        </w:rPr>
        <w:t>二、技术要求</w:t>
      </w:r>
      <w:bookmarkEnd w:id="95"/>
      <w:bookmarkEnd w:id="96"/>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（一）项目建设内容和规模</w:t>
      </w:r>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项目用地面积约39103.3平方米，涉及总建筑面积约60301.02平方米，计容面积50259.52平方米，其中旅游集散中心727.08平方米、星级酒店45886.94平方米、物管用房193.3平方米、地下后厨3356.6平方米、开闭所95.6平方米，非计容建筑面积10041.5平方米。</w:t>
      </w:r>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（二）服务要求</w:t>
      </w:r>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rFonts w:hint="default" w:ascii="仿宋_GB2312" w:hAnsi="宋体" w:eastAsia="仿宋_GB2312" w:cs="仿宋_GB2312"/>
          <w:kern w:val="2"/>
          <w:sz w:val="32"/>
          <w:szCs w:val="32"/>
        </w:rPr>
      </w:pPr>
      <w:r>
        <w:rPr>
          <w:rFonts w:hint="default" w:ascii="仿宋_GB2312" w:hAnsi="宋体" w:eastAsia="仿宋_GB2312" w:cs="仿宋_GB2312"/>
          <w:color w:val="000000"/>
          <w:kern w:val="2"/>
          <w:sz w:val="32"/>
          <w:szCs w:val="32"/>
          <w:lang w:val="en-US" w:eastAsia="zh-CN" w:bidi="ar"/>
        </w:rPr>
        <w:t>1.服务内容</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本项目施工图审查范围的所有勘察设计文件及相关配套工程的施工图审查工作，内容包括全部设计文件现场核对、审查工程地质勘察报告、审查施工图、审查变更设计施工图文件等，并参与重大设计方案调整的论证、评审及办理相关部门备案等工作。</w:t>
      </w:r>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rFonts w:hint="default" w:ascii="仿宋_GB2312" w:hAnsi="宋体" w:eastAsia="仿宋_GB2312" w:cs="仿宋_GB2312"/>
          <w:kern w:val="2"/>
          <w:sz w:val="32"/>
          <w:szCs w:val="32"/>
        </w:rPr>
      </w:pPr>
      <w:r>
        <w:rPr>
          <w:rFonts w:hint="default" w:ascii="仿宋_GB2312" w:hAnsi="宋体" w:eastAsia="仿宋_GB2312" w:cs="仿宋_GB2312"/>
          <w:color w:val="000000"/>
          <w:kern w:val="2"/>
          <w:sz w:val="32"/>
          <w:szCs w:val="32"/>
          <w:lang w:val="en-US" w:eastAsia="zh-CN" w:bidi="ar"/>
        </w:rPr>
        <w:t>2.技术要求</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（1）有关施工图设计文件（包括目录、图纸、施工验收标准、签署、出图章等）完整性和深度的审查； </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（2）有关设计依据（包括工程地质勘察报告）、采用的设计规范、标准的完整性和准确性的审查；</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（3）有关使用功能、安全可靠和质量要求是否得到满足，是否符合批准的初步设计，是否达到国家有关规定的设计深度的审查；</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（4）对设计的平面布置、主要尺寸、构造节点、设备选型和布置、管线直径确定、管线布置等作一定的审查；</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（5）施工图审查中需对勘察大纲、各专业设计图纸进行必要的会审，重点审查各专业设计之间的衔接和设计文件问题；</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（6）国家和地方有关法令、法规、规章所规定的施工图审查工作必须完成的工作内容；</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（7）是否符合《工程建设标准强制性条文》和其他涉及公共安全、公共利益和工程建设强制性标准；</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8）岩土勘察文件提供的设计参数是否详细、准确、合理，基础方案是否经济合理、可行，其结论与建议是否存在安全隐患；工程勘察成果报告是否达到国家规定的深度及是否满足设计要求；是否按照批准的初步设计文件进行施工图设计，施工图是否达到规定的深度要求；是否违反国家和地方建设行政主管部门其它有关勘察设计市场及质量管理方面的法律、法规和规定；</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（9）建筑物的稳定性、安全性审查，包括地基基础和主体结构体系是否安全、可靠；</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（10）设计单位资质、执业情况、设计文件签字盖章等是否符合国家、省、市勘察设计有关资质、市场管理、注册执业制度等方面的法律、法规和规章的规定；</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11）采购人要求审查的其他内容。施工图审查服务技术要求从技术、工程、经济等方面对项目的可行性进行论证，对设计方案进行优化，提高投资效益；对结构设计进行复核，保障建设项目安全可靠，同时防止保守浪费。</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3.工作成果：</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（1）《技术性审查终审意见书》6套；</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（2）审查合格书（附明细表，注明各单位工程的规模）6套；</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（3）施工图蓝图（逐页加盖</w:t>
      </w:r>
      <w:r>
        <w:rPr>
          <w:rFonts w:hint="default" w:ascii="Calibri" w:hAnsi="Calibri" w:eastAsia="仿宋_GB2312" w:cs="Calibri"/>
          <w:kern w:val="2"/>
          <w:sz w:val="32"/>
          <w:szCs w:val="32"/>
          <w:lang w:val="en-US" w:eastAsia="zh-CN" w:bidi="ar"/>
        </w:rPr>
        <w:t>“</w:t>
      </w:r>
      <w:r>
        <w:rPr>
          <w:rFonts w:hint="default" w:ascii="仿宋_GB2312" w:hAnsi="Calibri" w:eastAsia="仿宋_GB2312" w:cs="仿宋_GB2312"/>
          <w:kern w:val="2"/>
          <w:sz w:val="32"/>
          <w:szCs w:val="32"/>
          <w:lang w:val="en-US" w:eastAsia="zh-CN" w:bidi="ar"/>
        </w:rPr>
        <w:t>施工图审查合格专用章</w:t>
      </w:r>
      <w:r>
        <w:rPr>
          <w:rFonts w:hint="default" w:ascii="Calibri" w:hAnsi="Calibri" w:eastAsia="仿宋_GB2312" w:cs="Calibri"/>
          <w:kern w:val="2"/>
          <w:sz w:val="32"/>
          <w:szCs w:val="32"/>
          <w:lang w:val="en-US" w:eastAsia="zh-CN" w:bidi="ar"/>
        </w:rPr>
        <w:t>”</w:t>
      </w:r>
      <w:r>
        <w:rPr>
          <w:rFonts w:hint="default" w:ascii="仿宋_GB2312" w:hAnsi="Calibri" w:eastAsia="仿宋_GB2312" w:cs="仿宋_GB2312"/>
          <w:kern w:val="2"/>
          <w:sz w:val="32"/>
          <w:szCs w:val="32"/>
          <w:lang w:val="en-US" w:eastAsia="zh-CN" w:bidi="ar"/>
        </w:rPr>
        <w:t>和审查人专用章）6套。</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4.商务条款</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（1）服务期限：</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Cs w:val="0"/>
          <w:kern w:val="2"/>
          <w:sz w:val="32"/>
          <w:szCs w:val="32"/>
        </w:rPr>
      </w:pPr>
      <w:r>
        <w:rPr>
          <w:rFonts w:hint="default" w:ascii="仿宋_GB2312" w:hAnsi="Calibri" w:eastAsia="仿宋_GB2312" w:cs="仿宋_GB2312"/>
          <w:kern w:val="2"/>
          <w:sz w:val="32"/>
          <w:szCs w:val="32"/>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rFonts w:hint="default" w:ascii="仿宋_GB2312" w:hAnsi="宋体" w:eastAsia="仿宋_GB2312" w:cs="仿宋_GB2312"/>
          <w:kern w:val="2"/>
          <w:sz w:val="32"/>
          <w:szCs w:val="32"/>
        </w:rPr>
      </w:pPr>
      <w:r>
        <w:rPr>
          <w:rFonts w:hint="default" w:ascii="仿宋_GB2312" w:hAnsi="宋体" w:eastAsia="仿宋_GB2312" w:cs="仿宋_GB2312"/>
          <w:bCs w:val="0"/>
          <w:color w:val="000000"/>
          <w:kern w:val="2"/>
          <w:sz w:val="32"/>
          <w:szCs w:val="32"/>
          <w:lang w:val="en-US" w:eastAsia="zh-CN" w:bidi="ar"/>
        </w:rPr>
        <w:t>（2）</w:t>
      </w:r>
      <w:r>
        <w:rPr>
          <w:rFonts w:hint="default" w:ascii="仿宋_GB2312" w:hAnsi="宋体" w:eastAsia="仿宋_GB2312" w:cs="仿宋_GB2312"/>
          <w:color w:val="000000"/>
          <w:kern w:val="2"/>
          <w:sz w:val="32"/>
          <w:szCs w:val="32"/>
          <w:lang w:val="en-US" w:eastAsia="zh-CN" w:bidi="ar"/>
        </w:rPr>
        <w:t>付款方式：完成施工图设计文件审查并确认合格（加盖图审章）支付至合同价格的95%，竣工验收合格后付清。</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Cs w:val="0"/>
          <w:kern w:val="2"/>
          <w:sz w:val="32"/>
          <w:szCs w:val="32"/>
          <w:lang w:val="en-US" w:eastAsia="zh-CN" w:bidi="ar"/>
        </w:rPr>
        <w:t>5.</w:t>
      </w:r>
      <w:r>
        <w:rPr>
          <w:rFonts w:hint="default" w:ascii="仿宋_GB2312" w:hAnsi="Calibri" w:eastAsia="仿宋_GB2312" w:cs="仿宋_GB2312"/>
          <w:b w:val="0"/>
          <w:bCs w:val="0"/>
          <w:kern w:val="2"/>
          <w:sz w:val="32"/>
          <w:szCs w:val="32"/>
          <w:lang w:val="en-US" w:eastAsia="zh-CN" w:bidi="ar"/>
        </w:rPr>
        <w:t>其他条款：</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除按相关规范进行审查，达到满足施工图报建及消防建审要求外，另须做到以下要求：</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（1）本项目施工图审查范围含变更设计施工图文件；</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（2）审查消防图文件、审查防雷图文等；</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（3）参与重大设计方案调整的论证、评审及办理相关部门备案等工作；</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 xml:space="preserve">（4）配合甲方完成竣工图的备案；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（5）接到图纸后七个工作日提供施工图审查意见书，回复审查并出具审查合格报告时间不超过两个工作日；</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（6）上门接送图纸，根据实际要求要加盖图纸审查章，份数以甲方需求为准。</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（7）由专人负责本项目的施工图审查对接，包括与建设单位及设计单位之间的沟通，做到审查专业人员与设计专业工程师能直接沟通对接。</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（8）在服务有效期内，成交供应商应提供7*24小时技术支持，在采购人遇到技术问题时，应及时响应，如需现场服务的，应及时到场协助解决。</w:t>
      </w: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97" w:name="_Toc31677"/>
      <w:bookmarkStart w:id="98" w:name="_Toc16173"/>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99" w:name="_Toc17475"/>
      <w:bookmarkStart w:id="100"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7"/>
      <w:bookmarkEnd w:id="98"/>
      <w:bookmarkEnd w:id="99"/>
      <w:bookmarkEnd w:id="100"/>
    </w:p>
    <w:p>
      <w:pPr>
        <w:pStyle w:val="41"/>
        <w:numPr>
          <w:ilvl w:val="0"/>
          <w:numId w:val="0"/>
        </w:numPr>
        <w:ind w:leftChars="400"/>
        <w:rPr>
          <w:rFonts w:hint="eastAsia"/>
          <w:color w:val="auto"/>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1"/>
        <w:rPr>
          <w:rFonts w:hint="eastAsia" w:ascii="仿宋_GB2312" w:hAnsi="仿宋_GB2312" w:eastAsia="仿宋_GB2312" w:cs="仿宋_GB2312"/>
          <w:color w:val="auto"/>
          <w:sz w:val="32"/>
          <w:szCs w:val="32"/>
        </w:rPr>
      </w:pPr>
    </w:p>
    <w:p>
      <w:pPr>
        <w:pStyle w:val="40"/>
        <w:rPr>
          <w:rFonts w:hint="eastAsia" w:ascii="仿宋_GB2312" w:hAnsi="仿宋_GB2312" w:eastAsia="仿宋_GB2312" w:cs="仿宋_GB2312"/>
          <w:color w:val="auto"/>
          <w:sz w:val="32"/>
          <w:szCs w:val="32"/>
        </w:rPr>
      </w:pPr>
    </w:p>
    <w:p>
      <w:pPr>
        <w:pStyle w:val="19"/>
        <w:rPr>
          <w:rFonts w:hint="eastAsia" w:ascii="仿宋_GB2312" w:hAnsi="仿宋_GB2312" w:eastAsia="仿宋_GB2312" w:cs="仿宋_GB2312"/>
          <w:color w:val="auto"/>
          <w:sz w:val="32"/>
          <w:szCs w:val="32"/>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default" w:ascii="仿宋_GB2312" w:hAnsi="Calibri" w:eastAsia="仿宋_GB2312" w:cs="仿宋_GB2312"/>
          <w:kern w:val="2"/>
          <w:sz w:val="32"/>
          <w:szCs w:val="32"/>
          <w:u w:val="single"/>
          <w:lang w:val="en-US" w:eastAsia="zh-CN" w:bidi="ar"/>
        </w:rPr>
        <w:t>熊出没酒店项目施工图审查服务</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0"/>
        <w:ind w:left="0" w:leftChars="0" w:firstLine="0" w:firstLineChars="0"/>
        <w:rPr>
          <w:rFonts w:hint="eastAsia"/>
          <w:color w:val="auto"/>
        </w:rPr>
      </w:pPr>
    </w:p>
    <w:p>
      <w:pPr>
        <w:pStyle w:val="19"/>
        <w:rPr>
          <w:rFonts w:hint="eastAsia"/>
          <w:color w:val="auto"/>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1" w:name="_Toc15628"/>
      <w:r>
        <w:rPr>
          <w:rFonts w:hint="eastAsia" w:ascii="仿宋_GB2312" w:hAnsi="仿宋_GB2312" w:eastAsia="仿宋_GB2312" w:cs="仿宋_GB2312"/>
          <w:b/>
          <w:bCs/>
          <w:color w:val="auto"/>
          <w:sz w:val="32"/>
          <w:szCs w:val="32"/>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2" w:name="_Toc225736598"/>
      <w:bookmarkStart w:id="103" w:name="_Toc28471"/>
      <w:bookmarkStart w:id="104" w:name="_Toc11675"/>
      <w:bookmarkStart w:id="105" w:name="_Toc30091"/>
      <w:bookmarkStart w:id="106" w:name="_Toc24735"/>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2"/>
      <w:r>
        <w:rPr>
          <w:rFonts w:hint="eastAsia" w:ascii="黑体" w:hAnsi="黑体" w:eastAsia="黑体" w:cs="黑体"/>
          <w:b w:val="0"/>
          <w:bCs w:val="0"/>
          <w:color w:val="auto"/>
          <w:sz w:val="32"/>
          <w:szCs w:val="32"/>
        </w:rPr>
        <w:t>函</w:t>
      </w:r>
      <w:bookmarkEnd w:id="101"/>
      <w:bookmarkEnd w:id="103"/>
      <w:bookmarkEnd w:id="104"/>
      <w:bookmarkEnd w:id="105"/>
      <w:bookmarkEnd w:id="106"/>
    </w:p>
    <w:p>
      <w:pPr>
        <w:pStyle w:val="41"/>
        <w:numPr>
          <w:ilvl w:val="0"/>
          <w:numId w:val="0"/>
        </w:numPr>
        <w:ind w:leftChars="400"/>
        <w:rPr>
          <w:rFonts w:hint="eastAsia"/>
          <w:color w:val="auto"/>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 xml:space="preserve">（采购人全称）          </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default" w:ascii="仿宋_GB2312" w:hAnsi="Calibri" w:eastAsia="仿宋_GB2312" w:cs="仿宋_GB2312"/>
          <w:kern w:val="2"/>
          <w:sz w:val="32"/>
          <w:szCs w:val="32"/>
          <w:u w:val="single"/>
          <w:lang w:val="en-US" w:eastAsia="zh-CN" w:bidi="ar"/>
        </w:rPr>
        <w:t xml:space="preserve"> 熊出没酒店项目施工图审查服务 </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7" w:name="_Toc225736599"/>
      <w:bookmarkStart w:id="108" w:name="_Toc416256689"/>
      <w:bookmarkStart w:id="109" w:name="_Toc27041335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0" w:name="_Toc21154"/>
      <w:bookmarkStart w:id="111" w:name="_Toc25357"/>
      <w:bookmarkStart w:id="112" w:name="_Toc21293"/>
      <w:bookmarkStart w:id="113" w:name="_Toc476083429"/>
      <w:bookmarkStart w:id="114" w:name="_Toc14308"/>
      <w:bookmarkStart w:id="115" w:name="_Toc17630"/>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0"/>
      <w:bookmarkEnd w:id="111"/>
      <w:bookmarkEnd w:id="112"/>
      <w:bookmarkEnd w:id="113"/>
      <w:bookmarkEnd w:id="114"/>
      <w:bookmarkEnd w:id="115"/>
    </w:p>
    <w:p>
      <w:pPr>
        <w:pStyle w:val="41"/>
        <w:numPr>
          <w:ilvl w:val="0"/>
          <w:numId w:val="0"/>
        </w:numPr>
        <w:ind w:leftChars="200"/>
        <w:rPr>
          <w:rFonts w:hint="eastAsia"/>
          <w:color w:val="auto"/>
        </w:rPr>
      </w:pPr>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560" w:lineRule="exact"/>
        <w:ind w:left="0" w:leftChars="0" w:righ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我放在充分研究</w:t>
      </w:r>
      <w:r>
        <w:rPr>
          <w:rFonts w:hint="default" w:ascii="仿宋_GB2312" w:hAnsi="Calibri" w:eastAsia="仿宋_GB2312" w:cs="仿宋_GB2312"/>
          <w:bCs/>
          <w:kern w:val="0"/>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熊出没酒店项目施工图审查服务</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pPr>
        <w:keepNext w:val="0"/>
        <w:keepLines w:val="0"/>
        <w:widowControl/>
        <w:suppressLineNumbers w:val="0"/>
        <w:autoSpaceDE w:val="0"/>
        <w:autoSpaceDN/>
        <w:adjustRightInd w:val="0"/>
        <w:snapToGrid w:val="0"/>
        <w:spacing w:before="0" w:beforeAutospacing="0" w:after="0" w:afterAutospacing="0" w:line="520" w:lineRule="exact"/>
        <w:ind w:left="0" w:right="0" w:firstLine="640" w:firstLineChars="200"/>
        <w:jc w:val="left"/>
        <w:rPr>
          <w:rFonts w:hint="default" w:ascii="仿宋_GB2312" w:hAnsi="Calibri" w:eastAsia="仿宋_GB2312" w:cs="仿宋_GB2312"/>
          <w:b/>
          <w:bCs w:val="0"/>
          <w:kern w:val="0"/>
          <w:sz w:val="32"/>
          <w:szCs w:val="32"/>
        </w:rPr>
      </w:pPr>
      <w:r>
        <w:rPr>
          <w:rFonts w:hint="default" w:ascii="仿宋_GB2312" w:hAnsi="Calibri" w:eastAsia="仿宋_GB2312" w:cs="仿宋_GB2312"/>
          <w:bCs/>
          <w:kern w:val="2"/>
          <w:sz w:val="32"/>
          <w:szCs w:val="32"/>
          <w:lang w:val="en-US" w:eastAsia="zh-CN" w:bidi="ar"/>
        </w:rPr>
        <w:t>建筑面积按照60301.02㎡计算（采购人预估量，最终以项目</w:t>
      </w:r>
      <w:r>
        <w:rPr>
          <w:rFonts w:hint="default" w:ascii="仿宋_GB2312" w:hAnsi="Calibri" w:eastAsia="仿宋_GB2312" w:cs="仿宋_GB2312"/>
          <w:b w:val="0"/>
          <w:bCs/>
          <w:kern w:val="2"/>
          <w:sz w:val="32"/>
          <w:szCs w:val="32"/>
          <w:lang w:val="en-US" w:eastAsia="zh-CN" w:bidi="ar"/>
        </w:rPr>
        <w:t>设计施工图建筑面积结算）</w:t>
      </w:r>
      <w:r>
        <w:rPr>
          <w:rFonts w:hint="default" w:ascii="仿宋_GB2312" w:hAnsi="Calibri" w:eastAsia="仿宋_GB2312" w:cs="仿宋_GB2312"/>
          <w:bCs/>
          <w:kern w:val="2"/>
          <w:sz w:val="32"/>
          <w:szCs w:val="32"/>
          <w:lang w:val="en-US" w:eastAsia="zh-CN" w:bidi="ar"/>
        </w:rPr>
        <w:t>，</w:t>
      </w:r>
      <w:r>
        <w:rPr>
          <w:rFonts w:hint="default" w:ascii="仿宋_GB2312" w:hAnsi="Calibri" w:eastAsia="仿宋_GB2312" w:cs="仿宋_GB2312"/>
          <w:b/>
          <w:bCs w:val="0"/>
          <w:kern w:val="2"/>
          <w:sz w:val="32"/>
          <w:szCs w:val="32"/>
          <w:lang w:val="en-US" w:eastAsia="zh-CN" w:bidi="ar"/>
        </w:rPr>
        <w:t>固定不含税综合单价为</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元/㎡（保留两位小数，固定不含税综合单价=不含税总价/建筑面积）。</w:t>
      </w:r>
    </w:p>
    <w:p>
      <w:pPr>
        <w:keepNext w:val="0"/>
        <w:keepLines w:val="0"/>
        <w:widowControl w:val="0"/>
        <w:suppressLineNumbers w:val="0"/>
        <w:autoSpaceDE w:val="0"/>
        <w:autoSpaceDN/>
        <w:adjustRightInd w:val="0"/>
        <w:snapToGrid w:val="0"/>
        <w:spacing w:before="0" w:beforeAutospacing="0" w:after="0" w:afterAutospacing="0" w:line="520" w:lineRule="exact"/>
        <w:ind w:left="0" w:right="0" w:firstLine="643" w:firstLineChars="200"/>
        <w:jc w:val="both"/>
        <w:rPr>
          <w:rFonts w:hint="default" w:ascii="仿宋_GB2312" w:hAnsi="Calibri" w:eastAsia="仿宋_GB2312" w:cs="仿宋_GB2312"/>
          <w:b/>
          <w:bCs w:val="0"/>
          <w:kern w:val="2"/>
          <w:sz w:val="32"/>
          <w:szCs w:val="32"/>
        </w:rPr>
      </w:pPr>
      <w:r>
        <w:rPr>
          <w:rFonts w:hint="default" w:ascii="仿宋_GB2312" w:hAnsi="Calibri" w:eastAsia="仿宋_GB2312" w:cs="仿宋_GB2312"/>
          <w:b/>
          <w:bCs w:val="0"/>
          <w:kern w:val="2"/>
          <w:sz w:val="32"/>
          <w:szCs w:val="32"/>
          <w:lang w:eastAsia="zh-CN" w:bidi="ar"/>
        </w:rPr>
        <w:t>响应</w:t>
      </w:r>
      <w:r>
        <w:rPr>
          <w:rFonts w:hint="default" w:ascii="仿宋_GB2312" w:hAnsi="Calibri" w:eastAsia="仿宋_GB2312" w:cs="仿宋_GB2312"/>
          <w:b/>
          <w:bCs w:val="0"/>
          <w:kern w:val="2"/>
          <w:sz w:val="32"/>
          <w:szCs w:val="32"/>
          <w:lang w:val="en-US" w:eastAsia="zh-CN" w:bidi="ar"/>
        </w:rPr>
        <w:t>含税总价人民币大写：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元（小写：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元），增值税税率</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%，不含税总价人民币大写：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元（小写：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元），税金人民币大写：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 xml:space="preserve"> 元（小写：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w:t>
      </w:r>
    </w:p>
    <w:p>
      <w:pPr>
        <w:keepNext w:val="0"/>
        <w:keepLines w:val="0"/>
        <w:widowControl w:val="0"/>
        <w:suppressLineNumbers w:val="0"/>
        <w:spacing w:before="30" w:beforeLines="0" w:beforeAutospacing="0" w:after="0" w:afterAutospacing="0"/>
        <w:ind w:left="0" w:right="0"/>
        <w:jc w:val="both"/>
      </w:pPr>
      <w:r>
        <w:rPr>
          <w:rFonts w:hint="default" w:ascii="仿宋_GB2312" w:hAnsi="Calibri" w:eastAsia="仿宋_GB2312" w:cs="仿宋_GB2312"/>
          <w:bCs w:val="0"/>
          <w:kern w:val="2"/>
          <w:sz w:val="32"/>
          <w:szCs w:val="32"/>
          <w:lang w:eastAsia="zh-CN" w:bidi="ar"/>
        </w:rPr>
        <w:t xml:space="preserve">    </w:t>
      </w:r>
      <w:r>
        <w:rPr>
          <w:rFonts w:hint="default" w:ascii="仿宋_GB2312" w:hAnsi="Calibri" w:eastAsia="仿宋_GB2312" w:cs="仿宋_GB2312"/>
          <w:bCs w:val="0"/>
          <w:kern w:val="2"/>
          <w:sz w:val="32"/>
          <w:szCs w:val="32"/>
          <w:lang w:val="en-US" w:eastAsia="zh-CN" w:bidi="ar"/>
        </w:rPr>
        <w:t>本项目服务费采用固定综合单价计价方式，综合单价</w:t>
      </w:r>
      <w:r>
        <w:rPr>
          <w:rFonts w:hint="default" w:ascii="仿宋_GB2312" w:hAnsi="Calibri" w:eastAsia="仿宋_GB2312" w:cs="仿宋_GB2312"/>
          <w:bCs/>
          <w:kern w:val="0"/>
          <w:sz w:val="32"/>
          <w:szCs w:val="32"/>
          <w:lang w:val="en-US" w:eastAsia="zh-CN" w:bidi="ar"/>
        </w:rPr>
        <w:t>包含按照询价文件要求完成本项目施工图审查服务所需的人工劳务、设备工具、物料耗材、相关技术咨询服务等与施工图审查工作相关的一切费用。综合单价</w:t>
      </w:r>
      <w:r>
        <w:rPr>
          <w:rFonts w:hint="default" w:ascii="仿宋_GB2312" w:hAnsi="Calibri" w:eastAsia="仿宋_GB2312" w:cs="仿宋_GB2312"/>
          <w:bCs w:val="0"/>
          <w:kern w:val="2"/>
          <w:sz w:val="32"/>
          <w:szCs w:val="32"/>
          <w:lang w:val="en-US" w:eastAsia="zh-CN" w:bidi="ar"/>
        </w:rPr>
        <w:t>除另有约定外不以其他任何因素变化而作调整。结算服务金额=成交单价*设计施工图项目建筑面积（包含本项目范围内涉及的全部专业）。</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6" w:name="_Toc10621"/>
      <w:bookmarkStart w:id="117" w:name="_Toc476083430"/>
    </w:p>
    <w:bookmarkEnd w:id="107"/>
    <w:bookmarkEnd w:id="108"/>
    <w:bookmarkEnd w:id="109"/>
    <w:bookmarkEnd w:id="116"/>
    <w:bookmarkEnd w:id="117"/>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8" w:name="_Toc372709279"/>
      <w:bookmarkStart w:id="119" w:name="_Toc416256692"/>
    </w:p>
    <w:bookmarkEnd w:id="118"/>
    <w:bookmarkEnd w:id="119"/>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20" w:name="_Toc26748"/>
      <w:bookmarkStart w:id="121" w:name="_Toc5155"/>
      <w:bookmarkStart w:id="122" w:name="_Toc476083434"/>
      <w:bookmarkStart w:id="123" w:name="_Toc8354"/>
      <w:bookmarkStart w:id="124" w:name="_Toc28265"/>
      <w:bookmarkStart w:id="125" w:name="_Toc17514"/>
      <w:bookmarkStart w:id="126" w:name="_Toc372709280"/>
      <w:bookmarkStart w:id="127" w:name="_Toc416256693"/>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20"/>
      <w:bookmarkEnd w:id="121"/>
      <w:bookmarkEnd w:id="122"/>
      <w:bookmarkEnd w:id="123"/>
      <w:bookmarkEnd w:id="124"/>
      <w:bookmarkEnd w:id="125"/>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 xml:space="preserve">        （采购人全称）</w:t>
      </w:r>
      <w:r>
        <w:rPr>
          <w:rFonts w:hint="eastAsia" w:ascii="仿宋_GB2312" w:hAnsi="仿宋_GB2312" w:eastAsia="仿宋_GB2312" w:cs="仿宋_GB2312"/>
          <w:color w:val="auto"/>
          <w:sz w:val="32"/>
          <w:szCs w:val="32"/>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default" w:ascii="仿宋_GB2312" w:hAnsi="Calibri" w:eastAsia="仿宋_GB2312" w:cs="仿宋_GB2312"/>
          <w:b/>
          <w:bCs/>
          <w:kern w:val="2"/>
          <w:sz w:val="32"/>
          <w:szCs w:val="32"/>
          <w:u w:val="single"/>
          <w:lang w:val="en-US" w:eastAsia="zh-CN" w:bidi="ar"/>
        </w:rPr>
        <w:t xml:space="preserve"> </w:t>
      </w:r>
      <w:r>
        <w:rPr>
          <w:rFonts w:hint="default" w:ascii="仿宋_GB2312" w:hAnsi="Calibri" w:eastAsia="仿宋_GB2312" w:cs="仿宋_GB2312"/>
          <w:bCs/>
          <w:kern w:val="0"/>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 xml:space="preserve">熊出没酒店项目施工图审查服务 </w:t>
      </w:r>
      <w:r>
        <w:rPr>
          <w:rFonts w:hint="default" w:ascii="仿宋_GB2312" w:hAnsi="Calibri" w:eastAsia="仿宋_GB2312" w:cs="仿宋_GB2312"/>
          <w:b/>
          <w:bCs/>
          <w:kern w:val="2"/>
          <w:sz w:val="32"/>
          <w:szCs w:val="32"/>
          <w:u w:val="single"/>
          <w:lang w:val="en-US" w:eastAsia="zh-CN" w:bidi="ar"/>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28"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0"/>
              <w:keepNext w:val="0"/>
              <w:keepLines w:val="0"/>
              <w:suppressLineNumbers w:val="0"/>
              <w:spacing w:before="0" w:beforeAutospacing="0" w:afterAutospacing="0"/>
              <w:ind w:right="0"/>
              <w:rPr>
                <w:rFonts w:hint="eastAsia"/>
                <w:color w:va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keepNext w:val="0"/>
              <w:keepLines w:val="0"/>
              <w:suppressLineNumbers w:val="0"/>
              <w:spacing w:before="0" w:beforeAutospacing="0" w:after="0" w:afterAutospacing="0"/>
              <w:ind w:left="0" w:right="0"/>
              <w:rPr>
                <w:rFonts w:hint="eastAsia"/>
                <w:color w:va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29" w:name="_Toc4521"/>
      <w:bookmarkStart w:id="130" w:name="_Toc26547"/>
      <w:bookmarkStart w:id="131" w:name="_Toc29158"/>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2" w:name="_Toc14413"/>
      <w:bookmarkStart w:id="133" w:name="_Toc25009"/>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29"/>
      <w:bookmarkEnd w:id="130"/>
      <w:bookmarkEnd w:id="131"/>
      <w:bookmarkEnd w:id="132"/>
      <w:bookmarkEnd w:id="13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u w:val="single"/>
          <w:lang w:val="en-US" w:eastAsia="zh-CN" w:bidi="ar"/>
        </w:rPr>
        <w:t>熊出没酒店项目施工图审查服务</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4" w:name="_Toc29271"/>
      <w:bookmarkStart w:id="135" w:name="_Toc5289"/>
      <w:bookmarkStart w:id="136" w:name="_Toc29740"/>
      <w:bookmarkStart w:id="137" w:name="_Toc23737"/>
      <w:bookmarkStart w:id="138" w:name="_Toc1073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4"/>
      <w:bookmarkEnd w:id="135"/>
      <w:bookmarkEnd w:id="136"/>
      <w:bookmarkEnd w:id="137"/>
      <w:bookmarkEnd w:id="138"/>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39" w:name="_Toc10413"/>
      <w:bookmarkStart w:id="140" w:name="_Toc7049"/>
      <w:bookmarkStart w:id="141" w:name="_Toc13283"/>
      <w:bookmarkStart w:id="142" w:name="_Toc23895"/>
      <w:bookmarkStart w:id="143" w:name="_Toc25750"/>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39"/>
      <w:bookmarkEnd w:id="140"/>
      <w:bookmarkEnd w:id="141"/>
      <w:bookmarkEnd w:id="142"/>
      <w:bookmarkEnd w:id="143"/>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4" w:name="_Toc5082"/>
      <w:bookmarkStart w:id="145" w:name="_Toc28279"/>
      <w:bookmarkStart w:id="146" w:name="_Toc16500"/>
      <w:bookmarkStart w:id="147" w:name="_Toc12085"/>
      <w:bookmarkStart w:id="148" w:name="_Toc27927"/>
      <w:bookmarkStart w:id="149" w:name="_Toc29452"/>
    </w:p>
    <w:p>
      <w:pPr>
        <w:spacing w:line="500" w:lineRule="exact"/>
        <w:ind w:left="420" w:leftChars="200"/>
        <w:jc w:val="center"/>
        <w:outlineLvl w:val="1"/>
        <w:rPr>
          <w:rFonts w:asciiTheme="minorEastAsia" w:hAnsiTheme="minorEastAsia"/>
          <w:b/>
          <w:bCs/>
          <w:color w:val="auto"/>
          <w:sz w:val="32"/>
          <w:szCs w:val="32"/>
          <w:highlight w:val="none"/>
        </w:rPr>
      </w:pPr>
      <w:bookmarkStart w:id="150" w:name="_Toc15800"/>
      <w:bookmarkStart w:id="151" w:name="_Toc139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4"/>
      <w:bookmarkEnd w:id="145"/>
      <w:bookmarkEnd w:id="146"/>
      <w:bookmarkEnd w:id="147"/>
      <w:bookmarkEnd w:id="148"/>
      <w:bookmarkEnd w:id="149"/>
      <w:bookmarkEnd w:id="150"/>
      <w:bookmarkEnd w:id="151"/>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bookmarkStart w:id="152"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b w:val="0"/>
          <w:bCs w:val="0"/>
          <w:kern w:val="2"/>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熊出没酒店项目施工图审查服务</w:t>
      </w:r>
      <w:r>
        <w:rPr>
          <w:rFonts w:hint="default" w:ascii="仿宋_GB2312" w:hAnsi="Calibri" w:eastAsia="仿宋_GB2312" w:cs="仿宋_GB2312"/>
          <w:b w:val="0"/>
          <w:bCs w:val="0"/>
          <w:kern w:val="2"/>
          <w:sz w:val="32"/>
          <w:szCs w:val="32"/>
          <w:u w:val="single"/>
          <w:lang w:val="en-US" w:eastAsia="zh-CN" w:bidi="ar"/>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3" w:name="_Toc19051"/>
      <w:bookmarkStart w:id="154" w:name="_Toc13306"/>
      <w:bookmarkStart w:id="155" w:name="_Toc8684"/>
      <w:bookmarkStart w:id="156" w:name="_Toc6583"/>
      <w:bookmarkStart w:id="157" w:name="_Toc21193"/>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3"/>
      <w:bookmarkEnd w:id="154"/>
      <w:bookmarkEnd w:id="155"/>
      <w:bookmarkEnd w:id="156"/>
      <w:bookmarkEnd w:id="157"/>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2"/>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2"/>
    </w:p>
    <w:bookmarkEnd w:id="126"/>
    <w:bookmarkEnd w:id="127"/>
    <w:bookmarkEnd w:id="128"/>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58" w:name="_Toc25170"/>
      <w:bookmarkStart w:id="159" w:name="_Toc23263"/>
      <w:bookmarkStart w:id="160" w:name="_Toc1799401247"/>
      <w:bookmarkStart w:id="161" w:name="_Toc1723323091"/>
      <w:bookmarkStart w:id="162" w:name="_Toc4974"/>
      <w:bookmarkStart w:id="163" w:name="_Toc12458"/>
      <w:bookmarkStart w:id="164" w:name="_Toc20187"/>
      <w:bookmarkStart w:id="165" w:name="_Toc8075"/>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58"/>
      <w:bookmarkEnd w:id="159"/>
      <w:bookmarkEnd w:id="160"/>
      <w:bookmarkEnd w:id="161"/>
      <w:bookmarkEnd w:id="162"/>
      <w:bookmarkEnd w:id="163"/>
      <w:bookmarkEnd w:id="164"/>
      <w:bookmarkEnd w:id="165"/>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6" w:name="_Toc779243348"/>
      <w:bookmarkStart w:id="167" w:name="_Toc1765"/>
      <w:bookmarkStart w:id="168" w:name="_Toc22529"/>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6"/>
      <w:bookmarkEnd w:id="167"/>
      <w:bookmarkEnd w:id="168"/>
      <w:r>
        <w:rPr>
          <w:rFonts w:hint="eastAsia" w:ascii="楷体" w:hAnsi="楷体" w:eastAsia="楷体" w:cs="楷体"/>
          <w:color w:val="auto"/>
          <w:sz w:val="32"/>
          <w:szCs w:val="32"/>
          <w:lang w:val="en-US" w:eastAsia="zh-CN"/>
        </w:rPr>
        <w:t>等相关资格证明材料</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营业执照复印件并加盖单位公章；</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“江西住建云”系统中本机构企业信息截图并加盖单位公章</w:t>
      </w:r>
      <w:r>
        <w:rPr>
          <w:rFonts w:hint="default" w:ascii="仿宋_GB2312" w:eastAsia="仿宋_GB2312" w:cs="仿宋_GB2312"/>
          <w:b w:val="0"/>
          <w:bCs w:val="0"/>
          <w:i w:val="0"/>
          <w:iCs w:val="0"/>
          <w:caps w:val="0"/>
          <w:spacing w:val="0"/>
          <w:kern w:val="2"/>
          <w:sz w:val="32"/>
          <w:szCs w:val="32"/>
        </w:rPr>
        <w:t>；</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i w:val="0"/>
          <w:iCs w:val="0"/>
          <w:caps w:val="0"/>
          <w:spacing w:val="0"/>
          <w:kern w:val="2"/>
          <w:sz w:val="32"/>
          <w:szCs w:val="32"/>
        </w:rPr>
      </w:pPr>
      <w:r>
        <w:rPr>
          <w:rFonts w:hint="default" w:ascii="仿宋_GB2312" w:eastAsia="仿宋_GB2312" w:cs="仿宋_GB2312"/>
          <w:b w:val="0"/>
          <w:bCs w:val="0"/>
          <w:kern w:val="2"/>
          <w:sz w:val="32"/>
          <w:szCs w:val="32"/>
        </w:rPr>
        <w:t>具备承接本项目所需的施工图设计文件审查机构资质证书（业务范围为房屋建筑一类），提供证书复印件及“江西住建云”系统企业资质资格信息截图并加盖公章</w:t>
      </w:r>
      <w:r>
        <w:rPr>
          <w:rFonts w:hint="default" w:ascii="仿宋_GB2312" w:eastAsia="仿宋_GB2312" w:cs="仿宋_GB2312"/>
          <w:b w:val="0"/>
          <w:bCs w:val="0"/>
          <w:i w:val="0"/>
          <w:iCs w:val="0"/>
          <w:caps w:val="0"/>
          <w:spacing w:val="0"/>
          <w:kern w:val="2"/>
          <w:sz w:val="32"/>
          <w:szCs w:val="32"/>
        </w:rPr>
        <w:t>；</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拟派人员及人员资质证明提供资格证书复印件并加盖公章，并提供“江西住建云”系统中本企业注册人员（拟派人员）信息截图加盖公章。</w:t>
      </w:r>
    </w:p>
    <w:p>
      <w:pPr>
        <w:pStyle w:val="4"/>
        <w:keepNext w:val="0"/>
        <w:keepLines w:val="0"/>
        <w:widowControl/>
        <w:numPr>
          <w:ilvl w:val="2"/>
          <w:numId w:val="11"/>
        </w:numPr>
        <w:suppressLineNumbers w:val="0"/>
        <w:autoSpaceDE w:val="0"/>
        <w:autoSpaceDN/>
        <w:spacing w:before="0" w:beforeAutospacing="0" w:after="0" w:afterAutospacing="0" w:line="560" w:lineRule="exact"/>
        <w:jc w:val="center"/>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拟派人员信息表</w:t>
      </w:r>
    </w:p>
    <w:tbl>
      <w:tblPr>
        <w:tblStyle w:val="4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0"/>
        <w:gridCol w:w="1787"/>
        <w:gridCol w:w="1529"/>
        <w:gridCol w:w="2259"/>
        <w:gridCol w:w="2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序号</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人员姓名</w:t>
            </w: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拟任职务</w:t>
            </w: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资格证书</w:t>
            </w: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负责过的类似项目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1</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2"/>
                <w:sz w:val="22"/>
                <w:szCs w:val="22"/>
                <w:lang w:val="en-US" w:eastAsia="zh-CN" w:bidi="ar"/>
              </w:rPr>
              <w:t>供应商自行填报</w:t>
            </w: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2</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3</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4</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5</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bl>
    <w:p>
      <w:pPr>
        <w:pStyle w:val="4"/>
        <w:keepNext/>
        <w:keepLines/>
        <w:widowControl w:val="0"/>
        <w:suppressLineNumbers w:val="0"/>
        <w:autoSpaceDE w:val="0"/>
        <w:autoSpaceDN/>
        <w:spacing w:before="0" w:beforeAutospacing="0" w:after="0" w:afterAutospacing="0" w:line="240" w:lineRule="atLeast"/>
        <w:ind w:left="0"/>
        <w:outlineLvl w:val="0"/>
        <w:rPr>
          <w:rFonts w:hint="default" w:ascii="仿宋_GB2312" w:hAnsi="Calibri" w:eastAsia="仿宋_GB2312" w:cs="仿宋_GB2312"/>
          <w:b/>
          <w:bCs/>
          <w:color w:val="000000"/>
          <w:kern w:val="0"/>
          <w:sz w:val="24"/>
          <w:szCs w:val="24"/>
        </w:rPr>
      </w:pPr>
      <w:r>
        <w:rPr>
          <w:rFonts w:hint="default" w:ascii="仿宋_GB2312" w:hAnsi="Calibri" w:eastAsia="仿宋_GB2312" w:cs="仿宋_GB2312"/>
          <w:b/>
          <w:bCs/>
          <w:color w:val="000000"/>
          <w:kern w:val="0"/>
          <w:sz w:val="24"/>
          <w:szCs w:val="24"/>
        </w:rPr>
        <w:t>（</w:t>
      </w:r>
      <w:r>
        <w:rPr>
          <w:rFonts w:hint="default" w:ascii="仿宋_GB2312" w:hAnsi="Calibri" w:eastAsia="仿宋_GB2312" w:cs="仿宋_GB2312"/>
          <w:b/>
          <w:bCs/>
          <w:i w:val="0"/>
          <w:iCs w:val="0"/>
          <w:caps w:val="0"/>
          <w:color w:val="000000"/>
          <w:spacing w:val="0"/>
          <w:kern w:val="0"/>
          <w:sz w:val="24"/>
          <w:szCs w:val="24"/>
        </w:rPr>
        <w:t>项目负责人须具有国家一级注册建筑师执业资格或具有国家一级注册结构工程师执业资格</w:t>
      </w:r>
      <w:r>
        <w:rPr>
          <w:rFonts w:hint="default" w:ascii="仿宋_GB2312" w:hAnsi="Calibri" w:eastAsia="仿宋_GB2312" w:cs="仿宋_GB2312"/>
          <w:b/>
          <w:bCs/>
          <w:kern w:val="0"/>
          <w:sz w:val="24"/>
          <w:szCs w:val="24"/>
        </w:rPr>
        <w:t>）</w:t>
      </w:r>
    </w:p>
    <w:p>
      <w:pPr>
        <w:pStyle w:val="5"/>
        <w:rPr>
          <w:rFonts w:hint="eastAsia"/>
          <w:lang w:val="en-US" w:eastAsia="zh-CN"/>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69" w:name="_Toc262628298"/>
      <w:bookmarkStart w:id="170"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1"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69"/>
      <w:r>
        <w:rPr>
          <w:rFonts w:hint="eastAsia" w:ascii="楷体" w:hAnsi="楷体" w:eastAsia="楷体" w:cs="楷体"/>
          <w:color w:val="auto"/>
          <w:sz w:val="32"/>
          <w:szCs w:val="32"/>
        </w:rPr>
        <w:t>承诺函</w:t>
      </w:r>
      <w:bookmarkEnd w:id="170"/>
      <w:bookmarkEnd w:id="171"/>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2" w:name="_Toc16168"/>
      <w:bookmarkStart w:id="173" w:name="_Toc24860"/>
      <w:r>
        <w:rPr>
          <w:rFonts w:hint="eastAsia" w:ascii="楷体" w:hAnsi="楷体" w:eastAsia="楷体" w:cs="楷体"/>
          <w:color w:val="auto"/>
          <w:sz w:val="32"/>
          <w:szCs w:val="32"/>
          <w:lang w:val="en-US" w:eastAsia="zh-CN"/>
        </w:rPr>
        <w:t>格式6-</w:t>
      </w:r>
      <w:r>
        <w:rPr>
          <w:rFonts w:hint="default" w:ascii="楷体" w:hAnsi="楷体" w:eastAsia="楷体" w:cs="楷体"/>
          <w:color w:val="auto"/>
          <w:sz w:val="32"/>
          <w:szCs w:val="32"/>
          <w:lang w:eastAsia="zh-CN"/>
        </w:rPr>
        <w:t>3</w:t>
      </w:r>
      <w:r>
        <w:rPr>
          <w:rFonts w:hint="eastAsia" w:ascii="楷体" w:hAnsi="楷体" w:eastAsia="楷体" w:cs="楷体"/>
          <w:color w:val="auto"/>
          <w:sz w:val="32"/>
          <w:szCs w:val="32"/>
          <w:lang w:val="en-US" w:eastAsia="zh-CN"/>
        </w:rPr>
        <w:t xml:space="preserve"> 其他材料</w:t>
      </w:r>
      <w:bookmarkEnd w:id="172"/>
      <w:bookmarkEnd w:id="173"/>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07AFBC1C-B136-3502-807A-C365FBFD59F3}"/>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2" w:fontKey="{4CD921C9-417F-E805-807A-C365DF9871A9}"/>
  </w:font>
  <w:font w:name="ˎ̥">
    <w:altName w:val="苹方-简"/>
    <w:panose1 w:val="00000000000000000000"/>
    <w:charset w:val="00"/>
    <w:family w:val="roman"/>
    <w:pitch w:val="default"/>
    <w:sig w:usb0="00000000" w:usb1="00000000" w:usb2="00000000" w:usb3="00000000" w:csb0="00040001" w:csb1="00000000"/>
  </w:font>
  <w:font w:name="serif">
    <w:altName w:val="苹方-简"/>
    <w:panose1 w:val="00000000000000000000"/>
    <w:charset w:val="00"/>
    <w:family w:val="auto"/>
    <w:pitch w:val="default"/>
    <w:sig w:usb0="00000000" w:usb1="00000000" w:usb2="00000000" w:usb3="00000000" w:csb0="00000000" w:csb1="00000000"/>
  </w:font>
  <w:font w:name="_x000B__x000C_">
    <w:altName w:val="苹方-简"/>
    <w:panose1 w:val="00000000000000000000"/>
    <w:charset w:val="00"/>
    <w:family w:val="modern"/>
    <w:pitch w:val="default"/>
    <w:sig w:usb0="00000000" w:usb1="00000000" w:usb2="00000000"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Arial Narrow">
    <w:panose1 w:val="020B07060202020A0204"/>
    <w:charset w:val="00"/>
    <w:family w:val="swiss"/>
    <w:pitch w:val="default"/>
    <w:sig w:usb0="00000287" w:usb1="000008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panose1 w:val="020B0300000000000000"/>
    <w:charset w:val="80"/>
    <w:family w:val="roman"/>
    <w:pitch w:val="default"/>
    <w:sig w:usb0="E00002FF" w:usb1="7AE7FFFF" w:usb2="00000012" w:usb3="00000000" w:csb0="0002000D" w:csb1="00000000"/>
  </w:font>
  <w:font w:name="Tahoma">
    <w:panose1 w:val="020B0804030504040204"/>
    <w:charset w:val="00"/>
    <w:family w:val="swiss"/>
    <w:pitch w:val="default"/>
    <w:sig w:usb0="E1002AFF" w:usb1="C000605B" w:usb2="00000029" w:usb3="00000000" w:csb0="200101FF" w:csb1="20280000"/>
  </w:font>
  <w:font w:name="???|CS?o｡ﾀ?">
    <w:altName w:val="Hiragino Sans"/>
    <w:panose1 w:val="00000000000000000000"/>
    <w:charset w:val="80"/>
    <w:family w:val="swiss"/>
    <w:pitch w:val="default"/>
    <w:sig w:usb0="00000000" w:usb1="00000000" w:usb2="00000010" w:usb3="00000000" w:csb0="00020000" w:csb1="00000000"/>
  </w:font>
  <w:font w:name="Cambria">
    <w:altName w:val="苹方-简"/>
    <w:panose1 w:val="02040503050406030204"/>
    <w:charset w:val="00"/>
    <w:family w:val="roman"/>
    <w:pitch w:val="default"/>
    <w:sig w:usb0="00000000" w:usb1="00000000" w:usb2="02000000" w:usb3="00000000" w:csb0="2000019F" w:csb1="00000000"/>
  </w:font>
  <w:font w:name="微软雅黑">
    <w:altName w:val="汉仪旗黑"/>
    <w:panose1 w:val="020B0503020204020204"/>
    <w:charset w:val="86"/>
    <w:family w:val="auto"/>
    <w:pitch w:val="default"/>
    <w:sig w:usb0="00000000" w:usb1="00000000" w:usb2="00000016" w:usb3="00000000" w:csb0="0004001F" w:csb1="00000000"/>
  </w:font>
  <w:font w:name="宋体 ! important">
    <w:altName w:val="汉仪书宋二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Hiragino Sans">
    <w:panose1 w:val="020B0300000000000000"/>
    <w:charset w:val="80"/>
    <w:family w:val="auto"/>
    <w:pitch w:val="default"/>
    <w:sig w:usb0="E00002FF" w:usb1="7AE7FFFF" w:usb2="00000012" w:usb3="00000000" w:csb0="0002000D"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t23LAIAAFU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L0O3bcsAgAAVQQAAA4AAAAAAAAAAQAgAAAANQEAAGRy&#10;cy9lMm9Eb2MueG1sUEsFBgAAAAAGAAYAWQEAANMFA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vY9gwLAIAAFU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K9j2DAsAgAAVQQAAA4AAAAAAAAAAQAgAAAANQEAAGRy&#10;cy9lMm9Eb2MueG1sUEsFBgAAAAAGAAYAWQEAANMFA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Am1VpzKgIAAFUEAAAOAAAAAAAAAAEAIAAAADUBAABkcnMv&#10;ZTJvRG9jLnhtbFBLBQYAAAAABgAGAFkBAADRBQ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FAA17"/>
    <w:multiLevelType w:val="multilevel"/>
    <w:tmpl w:val="E7FFAA17"/>
    <w:lvl w:ilvl="0" w:tentative="0">
      <w:start w:val="1"/>
      <w:numFmt w:val="decimal"/>
      <w:lvlText w:val="%1"/>
      <w:lvlJc w:val="left"/>
      <w:pPr>
        <w:ind w:left="0" w:firstLine="0"/>
      </w:pPr>
      <w:rPr>
        <w:rFonts w:hint="default" w:ascii="黑体" w:hAnsi="宋体" w:eastAsia="黑体" w:cs="黑体"/>
        <w:b w:val="0"/>
        <w:i w:val="0"/>
        <w:sz w:val="24"/>
        <w:szCs w:val="24"/>
      </w:rPr>
    </w:lvl>
    <w:lvl w:ilvl="1" w:tentative="0">
      <w:start w:val="1"/>
      <w:numFmt w:val="decimal"/>
      <w:lvlText w:val="%1.%2"/>
      <w:lvlJc w:val="left"/>
      <w:pPr>
        <w:ind w:left="0" w:firstLine="0"/>
      </w:pPr>
      <w:rPr>
        <w:rFonts w:hint="default" w:ascii="黑体" w:hAnsi="宋体" w:eastAsia="黑体" w:cs="黑体"/>
        <w:b w:val="0"/>
        <w:i w:val="0"/>
        <w:sz w:val="24"/>
        <w:szCs w:val="24"/>
      </w:rPr>
    </w:lvl>
    <w:lvl w:ilvl="2" w:tentative="0">
      <w:start w:val="1"/>
      <w:numFmt w:val="decimal"/>
      <w:lvlText w:val="%1.%2.%3"/>
      <w:lvlJc w:val="left"/>
      <w:pPr>
        <w:ind w:left="420" w:firstLine="0"/>
      </w:pPr>
      <w:rPr>
        <w:rFonts w:hint="default" w:ascii="黑体" w:hAnsi="宋体" w:eastAsia="黑体" w:cs="黑体"/>
        <w:b w:val="0"/>
        <w:i w:val="0"/>
        <w:sz w:val="24"/>
        <w:szCs w:val="24"/>
      </w:rPr>
    </w:lvl>
    <w:lvl w:ilvl="3" w:tentative="0">
      <w:start w:val="1"/>
      <w:numFmt w:val="decimal"/>
      <w:lvlText w:val="%1.%2.%3.%4"/>
      <w:lvlJc w:val="left"/>
      <w:pPr>
        <w:ind w:left="0" w:firstLine="0"/>
      </w:pPr>
      <w:rPr>
        <w:rFonts w:hint="default" w:ascii="黑体" w:hAnsi="宋体" w:eastAsia="黑体" w:cs="黑体"/>
        <w:b w:val="0"/>
        <w:i w:val="0"/>
        <w:sz w:val="24"/>
        <w:szCs w:val="24"/>
      </w:rPr>
    </w:lvl>
    <w:lvl w:ilvl="4" w:tentative="0">
      <w:start w:val="1"/>
      <w:numFmt w:val="decimal"/>
      <w:lvlText w:val="%1.%2.%3.%4.%5"/>
      <w:lvlJc w:val="left"/>
      <w:pPr>
        <w:ind w:left="0" w:firstLine="0"/>
      </w:pPr>
      <w:rPr>
        <w:rFonts w:hint="default" w:ascii="黑体" w:hAnsi="宋体" w:eastAsia="黑体" w:cs="黑体"/>
        <w:b w:val="0"/>
        <w:i w:val="0"/>
        <w:sz w:val="24"/>
        <w:szCs w:val="24"/>
      </w:rPr>
    </w:lvl>
    <w:lvl w:ilvl="5" w:tentative="0">
      <w:start w:val="1"/>
      <w:numFmt w:val="decimal"/>
      <w:lvlText w:val="%1.%2.%3.%4.%5.%6"/>
      <w:lvlJc w:val="left"/>
      <w:pPr>
        <w:ind w:left="0" w:firstLine="0"/>
      </w:pPr>
      <w:rPr>
        <w:rFonts w:hint="default" w:ascii="黑体" w:hAnsi="宋体" w:eastAsia="黑体" w:cs="黑体"/>
        <w:b w:val="0"/>
        <w:i w:val="0"/>
        <w:sz w:val="24"/>
        <w:szCs w:val="24"/>
      </w:rPr>
    </w:lvl>
    <w:lvl w:ilvl="6" w:tentative="0">
      <w:start w:val="1"/>
      <w:numFmt w:val="decimal"/>
      <w:lvlText w:val="（%7）"/>
      <w:lvlJc w:val="left"/>
      <w:pPr>
        <w:ind w:left="1191" w:firstLine="0"/>
      </w:pPr>
      <w:rPr>
        <w:rFonts w:hint="default" w:ascii="黑体" w:hAnsi="宋体" w:eastAsia="黑体" w:cs="黑体"/>
        <w:b w:val="0"/>
        <w:i w:val="0"/>
        <w:sz w:val="24"/>
        <w:szCs w:val="24"/>
      </w:rPr>
    </w:lvl>
    <w:lvl w:ilvl="7" w:tentative="0">
      <w:start w:val="1"/>
      <w:numFmt w:val="lowerLetter"/>
      <w:lvlText w:val="（%8）"/>
      <w:lvlJc w:val="left"/>
      <w:pPr>
        <w:ind w:left="1888" w:firstLine="0"/>
      </w:pPr>
      <w:rPr>
        <w:rFonts w:hint="default" w:ascii="黑体" w:hAnsi="宋体" w:eastAsia="黑体" w:cs="黑体"/>
        <w:b w:val="0"/>
        <w:i w:val="0"/>
        <w:sz w:val="24"/>
        <w:szCs w:val="24"/>
      </w:rPr>
    </w:lvl>
    <w:lvl w:ilvl="8" w:tentative="0">
      <w:start w:val="1"/>
      <w:numFmt w:val="lowerRoman"/>
      <w:lvlText w:val="（%9）"/>
      <w:lvlJc w:val="left"/>
      <w:pPr>
        <w:ind w:left="2591" w:firstLine="0"/>
      </w:pPr>
      <w:rPr>
        <w:rFonts w:hint="default" w:ascii="黑体" w:hAnsi="宋体" w:eastAsia="黑体" w:cs="黑体"/>
        <w:b w:val="0"/>
        <w:i w:val="0"/>
        <w:sz w:val="24"/>
        <w:szCs w:val="24"/>
      </w:rPr>
    </w:lvl>
  </w:abstractNum>
  <w:abstractNum w:abstractNumId="1">
    <w:nsid w:val="EF7A7371"/>
    <w:multiLevelType w:val="multilevel"/>
    <w:tmpl w:val="EF7A7371"/>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2">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3">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5">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6">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9">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7"/>
  </w:num>
  <w:num w:numId="3">
    <w:abstractNumId w:val="3"/>
  </w:num>
  <w:num w:numId="4">
    <w:abstractNumId w:val="9"/>
  </w:num>
  <w:num w:numId="5">
    <w:abstractNumId w:val="10"/>
  </w:num>
  <w:num w:numId="6">
    <w:abstractNumId w:val="4"/>
  </w:num>
  <w:num w:numId="7">
    <w:abstractNumId w:val="6"/>
  </w:num>
  <w:num w:numId="8">
    <w:abstractNumId w:val="5"/>
  </w:num>
  <w:num w:numId="9">
    <w:abstractNumId w:val="8"/>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doNotDisplayPageBoundaries w:val="1"/>
  <w:embedTrueTypeFonts/>
  <w:saveSubsetFonts/>
  <w:bordersDoNotSurroundHeader w:val="0"/>
  <w:bordersDoNotSurroundFooter w:val="0"/>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000000"/>
    <w:rsid w:val="0FD45A39"/>
    <w:rsid w:val="11E15C35"/>
    <w:rsid w:val="211033DD"/>
    <w:rsid w:val="2CF45375"/>
    <w:rsid w:val="49D220F8"/>
    <w:rsid w:val="75FD8B9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unhideWhenUsed/>
    <w:qFormat/>
    <w:uiPriority w:val="1"/>
  </w:style>
  <w:style w:type="table" w:default="1" w:styleId="42">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5"/>
    <w:basedOn w:val="44"/>
    <w:qFormat/>
    <w:uiPriority w:val="0"/>
    <w:rPr>
      <w:rFonts w:hint="default" w:ascii="Times New Roman" w:hAnsi="Times New Roman" w:cs="Times New Roman"/>
    </w:rPr>
  </w:style>
  <w:style w:type="character" w:customStyle="1" w:styleId="221">
    <w:name w:val="10"/>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6361</Words>
  <Characters>6749</Characters>
  <Lines>1</Lines>
  <Paragraphs>1</Paragraphs>
  <TotalTime>1</TotalTime>
  <ScaleCrop>false</ScaleCrop>
  <LinksUpToDate>false</LinksUpToDate>
  <CharactersWithSpaces>8069</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2022-04-02T00:20:00Z</dcterms:created>
  <dc:creator>yx</dc:creator>
  <cp:lastModifiedBy>爱迪奥特曼</cp:lastModifiedBy>
  <cp:lastPrinted>2024-01-30T19:55:00Z</cp:lastPrinted>
  <dcterms:modified xsi:type="dcterms:W3CDTF">2024-02-07T20:41:36Z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5C4C701B0BBB1A0B807AC3650901CB20_43</vt:lpwstr>
  </property>
</Properties>
</file>