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F3EEC3">
      <w:pPr>
        <w:jc w:val="center"/>
        <w:rPr>
          <w:rFonts w:hint="eastAsia" w:ascii="仿宋" w:hAnsi="仿宋" w:eastAsia="仿宋" w:cs="仿宋"/>
          <w:b/>
          <w:color w:val="auto"/>
          <w:sz w:val="36"/>
          <w:szCs w:val="36"/>
          <w:highlight w:val="none"/>
        </w:rPr>
      </w:pPr>
    </w:p>
    <w:p w14:paraId="337AD901">
      <w:pPr>
        <w:jc w:val="both"/>
        <w:rPr>
          <w:rFonts w:hint="eastAsia" w:ascii="仿宋" w:hAnsi="仿宋" w:eastAsia="仿宋" w:cs="仿宋"/>
          <w:b/>
          <w:color w:val="auto"/>
          <w:sz w:val="36"/>
          <w:szCs w:val="36"/>
          <w:highlight w:val="none"/>
        </w:rPr>
      </w:pPr>
    </w:p>
    <w:p w14:paraId="42341F26">
      <w:pPr>
        <w:jc w:val="center"/>
        <w:rPr>
          <w:rFonts w:hint="eastAsia" w:ascii="仿宋" w:hAnsi="仿宋" w:eastAsia="仿宋" w:cs="仿宋"/>
          <w:b/>
          <w:color w:val="auto"/>
          <w:sz w:val="48"/>
          <w:szCs w:val="48"/>
          <w:highlight w:val="none"/>
        </w:rPr>
      </w:pPr>
      <w:r>
        <w:rPr>
          <w:rFonts w:hint="eastAsia" w:ascii="仿宋" w:hAnsi="仿宋" w:eastAsia="仿宋" w:cs="仿宋"/>
          <w:b/>
          <w:color w:val="auto"/>
          <w:sz w:val="48"/>
          <w:szCs w:val="48"/>
          <w:highlight w:val="none"/>
          <w:lang w:val="en-US" w:eastAsia="zh-CN"/>
        </w:rPr>
        <w:t>赣州缦廷酒店有限</w:t>
      </w:r>
      <w:r>
        <w:rPr>
          <w:rFonts w:hint="eastAsia" w:ascii="仿宋" w:hAnsi="仿宋" w:eastAsia="仿宋" w:cs="仿宋"/>
          <w:b/>
          <w:color w:val="auto"/>
          <w:sz w:val="48"/>
          <w:szCs w:val="48"/>
          <w:highlight w:val="none"/>
        </w:rPr>
        <w:t>公司</w:t>
      </w:r>
    </w:p>
    <w:p w14:paraId="30FDF955">
      <w:pPr>
        <w:jc w:val="center"/>
        <w:rPr>
          <w:rFonts w:hint="eastAsia" w:ascii="仿宋" w:hAnsi="仿宋" w:eastAsia="仿宋" w:cs="仿宋"/>
          <w:b/>
          <w:color w:val="auto"/>
          <w:sz w:val="36"/>
          <w:szCs w:val="36"/>
          <w:highlight w:val="none"/>
        </w:rPr>
      </w:pPr>
    </w:p>
    <w:p w14:paraId="1D70761E">
      <w:pPr>
        <w:pStyle w:val="4"/>
        <w:rPr>
          <w:rFonts w:hint="eastAsia" w:ascii="仿宋" w:hAnsi="仿宋" w:eastAsia="仿宋" w:cs="仿宋"/>
        </w:rPr>
      </w:pPr>
    </w:p>
    <w:p w14:paraId="2F48C2B4">
      <w:pPr>
        <w:rPr>
          <w:rFonts w:hint="eastAsia" w:ascii="仿宋" w:hAnsi="仿宋" w:eastAsia="仿宋" w:cs="仿宋"/>
        </w:rPr>
      </w:pPr>
    </w:p>
    <w:p w14:paraId="2D1A3C6B">
      <w:pPr>
        <w:jc w:val="center"/>
        <w:rPr>
          <w:rFonts w:hint="eastAsia" w:ascii="仿宋" w:hAnsi="仿宋" w:eastAsia="仿宋" w:cs="仿宋"/>
          <w:b/>
          <w:color w:val="auto"/>
          <w:sz w:val="72"/>
          <w:szCs w:val="72"/>
          <w:highlight w:val="none"/>
          <w:lang w:val="en-US" w:eastAsia="zh-CN"/>
        </w:rPr>
      </w:pPr>
      <w:bookmarkStart w:id="0" w:name="_Toc21849_WPSOffice_Level1"/>
      <w:bookmarkStart w:id="1" w:name="_Toc9378_WPSOffice_Level1"/>
    </w:p>
    <w:p w14:paraId="6C16606E">
      <w:pPr>
        <w:pStyle w:val="4"/>
        <w:rPr>
          <w:rFonts w:hint="eastAsia" w:ascii="仿宋" w:hAnsi="仿宋" w:eastAsia="仿宋" w:cs="仿宋"/>
          <w:b/>
          <w:color w:val="auto"/>
          <w:sz w:val="72"/>
          <w:szCs w:val="72"/>
          <w:highlight w:val="none"/>
          <w:lang w:val="en-US" w:eastAsia="zh-CN"/>
        </w:rPr>
      </w:pPr>
    </w:p>
    <w:p w14:paraId="2517D3D8">
      <w:pPr>
        <w:rPr>
          <w:rFonts w:hint="eastAsia"/>
          <w:lang w:val="en-US" w:eastAsia="zh-CN"/>
        </w:rPr>
      </w:pPr>
    </w:p>
    <w:bookmarkEnd w:id="0"/>
    <w:bookmarkEnd w:id="1"/>
    <w:p w14:paraId="18F2A080">
      <w:pPr>
        <w:jc w:val="center"/>
        <w:rPr>
          <w:rFonts w:hint="eastAsia" w:ascii="仿宋" w:hAnsi="仿宋" w:eastAsia="仿宋" w:cs="仿宋"/>
          <w:b/>
          <w:color w:val="auto"/>
          <w:sz w:val="48"/>
          <w:szCs w:val="48"/>
          <w:highlight w:val="none"/>
          <w:lang w:val="en-US" w:eastAsia="zh-CN"/>
        </w:rPr>
      </w:pPr>
      <w:r>
        <w:rPr>
          <w:rFonts w:hint="eastAsia" w:ascii="仿宋" w:hAnsi="仿宋" w:eastAsia="仿宋" w:cs="仿宋"/>
          <w:b/>
          <w:color w:val="auto"/>
          <w:sz w:val="48"/>
          <w:szCs w:val="48"/>
          <w:highlight w:val="none"/>
          <w:lang w:val="en-US" w:eastAsia="zh-CN"/>
        </w:rPr>
        <w:t>大堂入口处雨棚装修施工项目</w:t>
      </w:r>
    </w:p>
    <w:p w14:paraId="728B1154">
      <w:pPr>
        <w:jc w:val="center"/>
        <w:rPr>
          <w:rFonts w:hint="eastAsia" w:ascii="仿宋" w:hAnsi="仿宋" w:eastAsia="仿宋" w:cs="仿宋"/>
          <w:b/>
          <w:color w:val="auto"/>
          <w:sz w:val="48"/>
          <w:szCs w:val="48"/>
          <w:highlight w:val="none"/>
          <w:lang w:val="en-US" w:eastAsia="zh-CN"/>
        </w:rPr>
      </w:pPr>
      <w:r>
        <w:rPr>
          <w:rFonts w:hint="eastAsia" w:ascii="仿宋" w:hAnsi="仿宋" w:eastAsia="仿宋" w:cs="仿宋"/>
          <w:b/>
          <w:color w:val="auto"/>
          <w:sz w:val="48"/>
          <w:szCs w:val="48"/>
          <w:highlight w:val="none"/>
          <w:lang w:val="en-US" w:eastAsia="zh-CN"/>
        </w:rPr>
        <w:t>公开询价文件</w:t>
      </w:r>
    </w:p>
    <w:p w14:paraId="43AF51CF">
      <w:pPr>
        <w:jc w:val="center"/>
        <w:rPr>
          <w:rFonts w:hint="eastAsia" w:ascii="仿宋" w:hAnsi="仿宋" w:eastAsia="仿宋" w:cs="仿宋"/>
          <w:b/>
          <w:color w:val="auto"/>
          <w:sz w:val="48"/>
          <w:szCs w:val="48"/>
          <w:highlight w:val="none"/>
          <w:lang w:val="en-US" w:eastAsia="zh-CN"/>
        </w:rPr>
      </w:pPr>
    </w:p>
    <w:p w14:paraId="221A5798">
      <w:pPr>
        <w:jc w:val="center"/>
        <w:rPr>
          <w:rFonts w:hint="eastAsia" w:ascii="仿宋" w:hAnsi="仿宋" w:eastAsia="仿宋" w:cs="仿宋"/>
          <w:b/>
          <w:color w:val="auto"/>
          <w:sz w:val="36"/>
          <w:szCs w:val="36"/>
          <w:highlight w:val="none"/>
        </w:rPr>
      </w:pPr>
    </w:p>
    <w:p w14:paraId="6552D2C8">
      <w:pPr>
        <w:jc w:val="center"/>
        <w:rPr>
          <w:rFonts w:hint="eastAsia" w:ascii="仿宋" w:hAnsi="仿宋" w:eastAsia="仿宋" w:cs="仿宋"/>
          <w:b/>
          <w:color w:val="auto"/>
          <w:sz w:val="36"/>
          <w:szCs w:val="36"/>
          <w:highlight w:val="none"/>
        </w:rPr>
      </w:pPr>
    </w:p>
    <w:p w14:paraId="6F804BFC">
      <w:pPr>
        <w:jc w:val="center"/>
        <w:rPr>
          <w:rFonts w:hint="eastAsia" w:ascii="仿宋" w:hAnsi="仿宋" w:eastAsia="仿宋" w:cs="仿宋"/>
          <w:b/>
          <w:color w:val="auto"/>
          <w:sz w:val="36"/>
          <w:szCs w:val="36"/>
          <w:highlight w:val="none"/>
        </w:rPr>
      </w:pPr>
    </w:p>
    <w:p w14:paraId="1AC15F09">
      <w:pPr>
        <w:pStyle w:val="4"/>
        <w:rPr>
          <w:rFonts w:hint="eastAsia" w:ascii="仿宋" w:hAnsi="仿宋" w:eastAsia="仿宋" w:cs="仿宋"/>
          <w:b/>
          <w:color w:val="auto"/>
          <w:sz w:val="36"/>
          <w:szCs w:val="36"/>
          <w:highlight w:val="none"/>
        </w:rPr>
      </w:pPr>
    </w:p>
    <w:p w14:paraId="277FA53A">
      <w:pPr>
        <w:rPr>
          <w:rFonts w:hint="eastAsia" w:ascii="仿宋" w:hAnsi="仿宋" w:eastAsia="仿宋" w:cs="仿宋"/>
          <w:b/>
          <w:color w:val="auto"/>
          <w:sz w:val="36"/>
          <w:szCs w:val="36"/>
          <w:highlight w:val="none"/>
        </w:rPr>
      </w:pPr>
    </w:p>
    <w:p w14:paraId="72A59D2C">
      <w:pPr>
        <w:pStyle w:val="4"/>
        <w:rPr>
          <w:rFonts w:hint="eastAsia" w:ascii="仿宋" w:hAnsi="仿宋" w:eastAsia="仿宋" w:cs="仿宋"/>
          <w:b/>
          <w:color w:val="auto"/>
          <w:sz w:val="36"/>
          <w:szCs w:val="36"/>
          <w:highlight w:val="none"/>
        </w:rPr>
      </w:pPr>
    </w:p>
    <w:p w14:paraId="0181509D">
      <w:pPr>
        <w:rPr>
          <w:rFonts w:hint="eastAsia" w:ascii="仿宋" w:hAnsi="仿宋" w:eastAsia="仿宋" w:cs="仿宋"/>
          <w:b/>
          <w:color w:val="auto"/>
          <w:sz w:val="36"/>
          <w:szCs w:val="36"/>
          <w:highlight w:val="none"/>
        </w:rPr>
      </w:pPr>
    </w:p>
    <w:p w14:paraId="7DBAF38B">
      <w:pPr>
        <w:pStyle w:val="4"/>
        <w:rPr>
          <w:rFonts w:hint="eastAsia" w:ascii="仿宋" w:hAnsi="仿宋" w:eastAsia="仿宋" w:cs="仿宋"/>
          <w:b/>
          <w:color w:val="auto"/>
          <w:sz w:val="36"/>
          <w:szCs w:val="36"/>
          <w:highlight w:val="none"/>
        </w:rPr>
      </w:pPr>
    </w:p>
    <w:p w14:paraId="33D510E0">
      <w:pPr>
        <w:rPr>
          <w:rFonts w:hint="eastAsia" w:ascii="仿宋" w:hAnsi="仿宋" w:eastAsia="仿宋" w:cs="仿宋"/>
          <w:b/>
          <w:color w:val="auto"/>
          <w:sz w:val="36"/>
          <w:szCs w:val="36"/>
          <w:highlight w:val="none"/>
        </w:rPr>
      </w:pPr>
    </w:p>
    <w:p w14:paraId="0BD9D65B">
      <w:pPr>
        <w:pStyle w:val="4"/>
        <w:rPr>
          <w:rFonts w:hint="eastAsia"/>
        </w:rPr>
      </w:pPr>
    </w:p>
    <w:p w14:paraId="37B4997B">
      <w:pPr>
        <w:pStyle w:val="13"/>
        <w:ind w:left="0" w:leftChars="0" w:firstLine="0" w:firstLineChars="0"/>
        <w:rPr>
          <w:rFonts w:hint="eastAsia" w:ascii="仿宋" w:hAnsi="仿宋" w:eastAsia="仿宋" w:cs="仿宋"/>
          <w:b/>
          <w:color w:val="auto"/>
          <w:sz w:val="36"/>
          <w:szCs w:val="36"/>
          <w:highlight w:val="none"/>
        </w:rPr>
      </w:pPr>
    </w:p>
    <w:p w14:paraId="43C04CC8">
      <w:pPr>
        <w:pStyle w:val="13"/>
        <w:rPr>
          <w:rFonts w:hint="eastAsia" w:ascii="仿宋" w:hAnsi="仿宋" w:eastAsia="仿宋" w:cs="仿宋"/>
          <w:b/>
          <w:color w:val="auto"/>
          <w:sz w:val="36"/>
          <w:szCs w:val="36"/>
          <w:highlight w:val="none"/>
        </w:rPr>
      </w:pPr>
    </w:p>
    <w:p w14:paraId="1E7568F7">
      <w:pPr>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lang w:val="en-US" w:eastAsia="zh-CN"/>
        </w:rPr>
        <w:t>赣州缦廷酒店有限</w:t>
      </w:r>
      <w:r>
        <w:rPr>
          <w:rFonts w:hint="eastAsia" w:ascii="仿宋" w:hAnsi="仿宋" w:eastAsia="仿宋" w:cs="仿宋"/>
          <w:b/>
          <w:color w:val="auto"/>
          <w:sz w:val="36"/>
          <w:szCs w:val="36"/>
          <w:highlight w:val="none"/>
        </w:rPr>
        <w:t>公司</w:t>
      </w:r>
    </w:p>
    <w:p w14:paraId="75092B31">
      <w:pPr>
        <w:jc w:val="center"/>
        <w:rPr>
          <w:rFonts w:hint="eastAsia" w:ascii="仿宋" w:hAnsi="仿宋" w:eastAsia="仿宋" w:cs="仿宋"/>
          <w:b/>
          <w:color w:val="auto"/>
          <w:sz w:val="36"/>
          <w:szCs w:val="36"/>
          <w:highlight w:val="none"/>
        </w:rPr>
        <w:sectPr>
          <w:pgSz w:w="11907" w:h="16839"/>
          <w:pgMar w:top="1440" w:right="1134" w:bottom="1440" w:left="1134" w:header="851" w:footer="992" w:gutter="0"/>
          <w:cols w:space="720" w:num="1"/>
          <w:docGrid w:linePitch="312" w:charSpace="0"/>
        </w:sectPr>
      </w:pPr>
      <w:r>
        <w:rPr>
          <w:rFonts w:hint="eastAsia" w:ascii="仿宋" w:hAnsi="仿宋" w:eastAsia="仿宋" w:cs="仿宋"/>
          <w:b/>
          <w:color w:val="auto"/>
          <w:sz w:val="36"/>
          <w:szCs w:val="36"/>
          <w:highlight w:val="none"/>
        </w:rPr>
        <w:t>二O二</w:t>
      </w:r>
      <w:r>
        <w:rPr>
          <w:rFonts w:hint="eastAsia" w:ascii="仿宋" w:hAnsi="仿宋" w:eastAsia="仿宋" w:cs="仿宋"/>
          <w:b/>
          <w:color w:val="auto"/>
          <w:sz w:val="36"/>
          <w:szCs w:val="36"/>
          <w:highlight w:val="none"/>
          <w:lang w:val="en-US" w:eastAsia="zh-CN"/>
        </w:rPr>
        <w:t>四</w:t>
      </w:r>
      <w:r>
        <w:rPr>
          <w:rFonts w:hint="eastAsia" w:ascii="仿宋" w:hAnsi="仿宋" w:eastAsia="仿宋" w:cs="仿宋"/>
          <w:b/>
          <w:color w:val="auto"/>
          <w:sz w:val="36"/>
          <w:szCs w:val="36"/>
          <w:highlight w:val="none"/>
        </w:rPr>
        <w:t>年</w:t>
      </w:r>
      <w:r>
        <w:rPr>
          <w:rFonts w:hint="eastAsia" w:ascii="仿宋" w:hAnsi="仿宋" w:eastAsia="仿宋" w:cs="仿宋"/>
          <w:b/>
          <w:color w:val="auto"/>
          <w:sz w:val="36"/>
          <w:szCs w:val="36"/>
          <w:highlight w:val="none"/>
          <w:lang w:val="en-US" w:eastAsia="zh-CN"/>
        </w:rPr>
        <w:t>九</w:t>
      </w:r>
      <w:r>
        <w:rPr>
          <w:rFonts w:hint="eastAsia" w:ascii="仿宋" w:hAnsi="仿宋" w:eastAsia="仿宋" w:cs="仿宋"/>
          <w:b/>
          <w:color w:val="auto"/>
          <w:sz w:val="36"/>
          <w:szCs w:val="36"/>
          <w:highlight w:val="none"/>
        </w:rPr>
        <w:t>月</w:t>
      </w:r>
    </w:p>
    <w:p w14:paraId="6B67FE88">
      <w:pPr>
        <w:pStyle w:val="7"/>
        <w:keepNext w:val="0"/>
        <w:keepLines w:val="0"/>
        <w:pageBreakBefore w:val="0"/>
        <w:widowControl w:val="0"/>
        <w:kinsoku/>
        <w:wordWrap/>
        <w:overflowPunct/>
        <w:topLinePunct w:val="0"/>
        <w:autoSpaceDE/>
        <w:autoSpaceDN/>
        <w:bidi w:val="0"/>
        <w:adjustRightInd/>
        <w:snapToGrid/>
        <w:spacing w:before="313" w:beforeLines="100" w:after="313" w:afterLines="100"/>
        <w:ind w:firstLine="826" w:firstLineChars="257"/>
        <w:jc w:val="center"/>
        <w:textAlignment w:val="auto"/>
        <w:rPr>
          <w:b/>
          <w:bCs/>
          <w:color w:val="000000" w:themeColor="text1"/>
          <w:sz w:val="32"/>
          <w:highlight w:val="none"/>
          <w14:textFill>
            <w14:solidFill>
              <w14:schemeClr w14:val="tx1"/>
            </w14:solidFill>
          </w14:textFill>
        </w:rPr>
      </w:pPr>
      <w:r>
        <w:rPr>
          <w:rFonts w:hint="eastAsia"/>
          <w:b/>
          <w:bCs/>
          <w:color w:val="000000" w:themeColor="text1"/>
          <w:sz w:val="32"/>
          <w:highlight w:val="none"/>
          <w14:textFill>
            <w14:solidFill>
              <w14:schemeClr w14:val="tx1"/>
            </w14:solidFill>
          </w14:textFill>
        </w:rPr>
        <w:t>目     录</w:t>
      </w:r>
    </w:p>
    <w:p w14:paraId="2103E4BB">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auto"/>
        <w:ind w:left="720" w:leftChars="0"/>
        <w:jc w:val="left"/>
        <w:textAlignment w:val="auto"/>
        <w:rPr>
          <w:rStyle w:val="12"/>
          <w:rFonts w:hint="eastAsia"/>
          <w:b/>
          <w:color w:val="000000" w:themeColor="text1"/>
          <w:highlight w:val="none"/>
          <w:u w:val="none"/>
          <w:lang w:val="en-US" w:eastAsia="zh-CN"/>
          <w14:textFill>
            <w14:solidFill>
              <w14:schemeClr w14:val="tx1"/>
            </w14:solidFill>
          </w14:textFill>
        </w:rPr>
      </w:pPr>
      <w:r>
        <w:rPr>
          <w:rStyle w:val="12"/>
          <w:rFonts w:hint="eastAsia"/>
          <w:b/>
          <w:color w:val="000000" w:themeColor="text1"/>
          <w:highlight w:val="none"/>
          <w:u w:val="none"/>
          <w:lang w:val="en-US" w:eastAsia="zh-CN"/>
          <w14:textFill>
            <w14:solidFill>
              <w14:schemeClr w14:val="tx1"/>
            </w14:solidFill>
          </w14:textFill>
        </w:rPr>
        <w:t>第一章 公开询价公告</w:t>
      </w:r>
    </w:p>
    <w:p w14:paraId="2230C080">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auto"/>
        <w:ind w:left="720" w:leftChars="0"/>
        <w:jc w:val="left"/>
        <w:textAlignment w:val="auto"/>
        <w:rPr>
          <w:rStyle w:val="12"/>
          <w:rFonts w:hint="default"/>
          <w:b/>
          <w:color w:val="000000" w:themeColor="text1"/>
          <w:highlight w:val="none"/>
          <w:u w:val="none"/>
          <w:lang w:val="en-US" w:eastAsia="zh-CN"/>
          <w14:textFill>
            <w14:solidFill>
              <w14:schemeClr w14:val="tx1"/>
            </w14:solidFill>
          </w14:textFill>
        </w:rPr>
      </w:pPr>
      <w:r>
        <w:rPr>
          <w:rStyle w:val="12"/>
          <w:rFonts w:hint="eastAsia"/>
          <w:b/>
          <w:color w:val="000000" w:themeColor="text1"/>
          <w:highlight w:val="none"/>
          <w:u w:val="none"/>
          <w:lang w:val="en-US" w:eastAsia="zh-CN"/>
          <w14:textFill>
            <w14:solidFill>
              <w14:schemeClr w14:val="tx1"/>
            </w14:solidFill>
          </w14:textFill>
        </w:rPr>
        <w:t>第二章 询价程序和方法</w:t>
      </w:r>
    </w:p>
    <w:p w14:paraId="6A94A757">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auto"/>
        <w:ind w:left="720" w:leftChars="0"/>
        <w:jc w:val="left"/>
        <w:textAlignment w:val="auto"/>
        <w:rPr>
          <w:rFonts w:hint="eastAsia"/>
          <w:b/>
          <w:color w:val="000000" w:themeColor="text1"/>
          <w:highlight w:val="none"/>
          <w:lang w:val="en-US" w:eastAsia="zh-CN"/>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第三章 项目要求</w:t>
      </w:r>
    </w:p>
    <w:p w14:paraId="1597AD07">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auto"/>
        <w:ind w:left="720" w:leftChars="0"/>
        <w:jc w:val="left"/>
        <w:textAlignment w:val="auto"/>
        <w:rPr>
          <w:rFonts w:hint="eastAsia"/>
          <w:lang w:val="en-US" w:eastAsia="zh-CN"/>
        </w:rPr>
        <w:sectPr>
          <w:pgSz w:w="11907" w:h="16839"/>
          <w:pgMar w:top="1440" w:right="1134" w:bottom="1440" w:left="1134" w:header="851" w:footer="992" w:gutter="0"/>
          <w:cols w:space="720" w:num="1"/>
          <w:docGrid w:linePitch="312" w:charSpace="0"/>
        </w:sectPr>
      </w:pPr>
      <w:r>
        <w:rPr>
          <w:rStyle w:val="12"/>
          <w:rFonts w:hint="eastAsia" w:asciiTheme="minorHAnsi" w:hAnsiTheme="minorHAnsi" w:eastAsiaTheme="minorEastAsia" w:cstheme="minorBidi"/>
          <w:b/>
          <w:color w:val="000000" w:themeColor="text1"/>
          <w:highlight w:val="none"/>
          <w:u w:val="none"/>
          <w:lang w:val="en-US" w:eastAsia="zh-CN"/>
          <w14:textFill>
            <w14:solidFill>
              <w14:schemeClr w14:val="tx1"/>
            </w14:solidFill>
          </w14:textFill>
        </w:rPr>
        <w:t>第</w:t>
      </w:r>
      <w:r>
        <w:rPr>
          <w:rStyle w:val="12"/>
          <w:rFonts w:hint="eastAsia" w:cstheme="minorBidi"/>
          <w:b/>
          <w:color w:val="000000" w:themeColor="text1"/>
          <w:highlight w:val="none"/>
          <w:u w:val="none"/>
          <w:lang w:val="en-US" w:eastAsia="zh-CN"/>
          <w14:textFill>
            <w14:solidFill>
              <w14:schemeClr w14:val="tx1"/>
            </w14:solidFill>
          </w14:textFill>
        </w:rPr>
        <w:t>四</w:t>
      </w:r>
      <w:r>
        <w:rPr>
          <w:rStyle w:val="12"/>
          <w:rFonts w:hint="eastAsia" w:asciiTheme="minorHAnsi" w:hAnsiTheme="minorHAnsi" w:eastAsiaTheme="minorEastAsia" w:cstheme="minorBidi"/>
          <w:b/>
          <w:color w:val="000000" w:themeColor="text1"/>
          <w:highlight w:val="none"/>
          <w:u w:val="none"/>
          <w:lang w:val="en-US" w:eastAsia="zh-CN"/>
          <w14:textFill>
            <w14:solidFill>
              <w14:schemeClr w14:val="tx1"/>
            </w14:solidFill>
          </w14:textFill>
        </w:rPr>
        <w:t>章</w:t>
      </w:r>
      <w:r>
        <w:rPr>
          <w:rFonts w:hint="eastAsia"/>
          <w:b/>
          <w:color w:val="000000" w:themeColor="text1"/>
          <w:highlight w:val="none"/>
          <w:lang w:val="en-US" w:eastAsia="zh-CN"/>
          <w14:textFill>
            <w14:solidFill>
              <w14:schemeClr w14:val="tx1"/>
            </w14:solidFill>
          </w14:textFill>
        </w:rPr>
        <w:t xml:space="preserve"> 响应文件格式</w:t>
      </w:r>
    </w:p>
    <w:p w14:paraId="42E9F0A0">
      <w:pPr>
        <w:spacing w:line="360" w:lineRule="auto"/>
        <w:jc w:val="center"/>
        <w:outlineLvl w:val="0"/>
        <w:rPr>
          <w:rFonts w:hint="eastAsia" w:ascii="黑体" w:hAnsi="黑体" w:eastAsia="黑体" w:cs="黑体"/>
          <w:bCs/>
          <w:color w:val="auto"/>
          <w:sz w:val="32"/>
          <w:szCs w:val="32"/>
          <w:lang w:val="en-US" w:eastAsia="zh-CN"/>
        </w:rPr>
      </w:pP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r>
        <w:rPr>
          <w:rStyle w:val="12"/>
          <w:rFonts w:hint="eastAsia" w:ascii="黑体" w:hAnsi="黑体" w:eastAsia="黑体" w:cs="黑体"/>
          <w:b/>
          <w:color w:val="000000" w:themeColor="text1"/>
          <w:sz w:val="32"/>
          <w:szCs w:val="32"/>
          <w:highlight w:val="none"/>
          <w:u w:val="none"/>
          <w:lang w:val="en-US" w:eastAsia="zh-CN"/>
          <w14:textFill>
            <w14:solidFill>
              <w14:schemeClr w14:val="tx1"/>
            </w14:solidFill>
          </w14:textFill>
        </w:rPr>
        <w:t>公开询价公告</w:t>
      </w:r>
    </w:p>
    <w:p w14:paraId="3D8FD27A">
      <w:pPr>
        <w:keepNext w:val="0"/>
        <w:keepLines w:val="0"/>
        <w:pageBreakBefore w:val="0"/>
        <w:numPr>
          <w:ilvl w:val="0"/>
          <w:numId w:val="0"/>
        </w:numPr>
        <w:kinsoku/>
        <w:wordWrap/>
        <w:overflowPunct/>
        <w:topLinePunct w:val="0"/>
        <w:autoSpaceDE/>
        <w:autoSpaceDN/>
        <w:bidi w:val="0"/>
        <w:snapToGrid/>
        <w:spacing w:line="520" w:lineRule="exact"/>
        <w:ind w:firstLine="640" w:firstLineChars="200"/>
        <w:jc w:val="both"/>
        <w:outlineLvl w:val="1"/>
        <w:rPr>
          <w:rFonts w:hint="eastAsia" w:ascii="仿宋" w:hAnsi="仿宋" w:eastAsia="仿宋" w:cs="仿宋"/>
          <w:i w:val="0"/>
          <w:iCs w:val="0"/>
          <w:caps w:val="0"/>
          <w:color w:val="auto"/>
          <w:spacing w:val="0"/>
          <w:sz w:val="32"/>
          <w:szCs w:val="32"/>
          <w:highlight w:val="none"/>
          <w:vertAlign w:val="baseline"/>
          <w:lang w:val="en-US" w:eastAsia="zh-CN"/>
        </w:rPr>
      </w:pPr>
      <w:bookmarkStart w:id="2" w:name="_Toc22537"/>
      <w:bookmarkStart w:id="3" w:name="_Toc31894"/>
      <w:bookmarkStart w:id="4" w:name="_Toc31733"/>
      <w:bookmarkStart w:id="5" w:name="_Toc27893"/>
      <w:bookmarkStart w:id="6" w:name="_Toc14425"/>
      <w:r>
        <w:rPr>
          <w:rFonts w:hint="eastAsia" w:ascii="仿宋" w:hAnsi="仿宋" w:eastAsia="仿宋" w:cs="仿宋"/>
          <w:i w:val="0"/>
          <w:iCs w:val="0"/>
          <w:caps w:val="0"/>
          <w:color w:val="auto"/>
          <w:spacing w:val="0"/>
          <w:sz w:val="32"/>
          <w:szCs w:val="32"/>
          <w:highlight w:val="none"/>
          <w:vertAlign w:val="baseline"/>
          <w:lang w:val="en-US" w:eastAsia="zh-CN"/>
        </w:rPr>
        <w:t>赣州缦廷酒店有限公司（以下简称“采购人”）拟对赣州缦廷酒店大堂入口处雨棚装修施工项目以公开询价的形式进行采购，欢迎符合条件的供应商参与，现就项目相关情况及要求介绍如下：</w:t>
      </w:r>
    </w:p>
    <w:p w14:paraId="1F8E462D">
      <w:pPr>
        <w:keepNext w:val="0"/>
        <w:keepLines w:val="0"/>
        <w:pageBreakBefore w:val="0"/>
        <w:numPr>
          <w:ilvl w:val="0"/>
          <w:numId w:val="0"/>
        </w:numPr>
        <w:kinsoku/>
        <w:wordWrap/>
        <w:overflowPunct/>
        <w:topLinePunct w:val="0"/>
        <w:autoSpaceDE/>
        <w:autoSpaceDN/>
        <w:bidi w:val="0"/>
        <w:snapToGrid/>
        <w:spacing w:line="520" w:lineRule="exact"/>
        <w:ind w:firstLine="643" w:firstLineChars="200"/>
        <w:jc w:val="left"/>
        <w:outlineLvl w:val="1"/>
        <w:rPr>
          <w:rFonts w:hint="eastAsia" w:ascii="楷体" w:hAnsi="楷体" w:eastAsia="楷体" w:cs="楷体"/>
          <w:b/>
          <w:bCs/>
          <w:color w:val="auto"/>
          <w:sz w:val="32"/>
          <w:szCs w:val="32"/>
          <w:lang w:val="en-US" w:eastAsia="zh-Hans"/>
        </w:rPr>
      </w:pPr>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2"/>
      <w:bookmarkEnd w:id="3"/>
      <w:bookmarkEnd w:id="4"/>
      <w:bookmarkEnd w:id="5"/>
    </w:p>
    <w:p w14:paraId="24A8BE75">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 xml:space="preserve">      /                      </w:t>
      </w:r>
    </w:p>
    <w:p w14:paraId="12982F96">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none"/>
          <w:lang w:val="en-US" w:eastAsia="zh-CN"/>
        </w:rPr>
        <w:t>2.项目名称：</w:t>
      </w:r>
      <w:bookmarkEnd w:id="6"/>
      <w:r>
        <w:rPr>
          <w:rFonts w:hint="eastAsia" w:ascii="仿宋_GB2312" w:hAnsi="仿宋_GB2312" w:eastAsia="仿宋_GB2312" w:cs="仿宋_GB2312"/>
          <w:color w:val="auto"/>
          <w:sz w:val="32"/>
          <w:szCs w:val="32"/>
          <w:u w:val="single"/>
          <w:lang w:val="en-US" w:eastAsia="zh-CN"/>
        </w:rPr>
        <w:t xml:space="preserve"> 赣州缦廷酒店大堂入口处雨棚装修施工项目  </w:t>
      </w:r>
    </w:p>
    <w:p w14:paraId="68A5C96E">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3.项目概况：</w:t>
      </w:r>
      <w:r>
        <w:rPr>
          <w:rFonts w:hint="eastAsia" w:ascii="仿宋_GB2312" w:hAnsi="仿宋_GB2312" w:eastAsia="仿宋_GB2312" w:cs="仿宋_GB2312"/>
          <w:color w:val="auto"/>
          <w:sz w:val="32"/>
          <w:szCs w:val="32"/>
          <w:u w:val="single"/>
          <w:lang w:val="en-US" w:eastAsia="zh-CN"/>
        </w:rPr>
        <w:t xml:space="preserve"> 大堂入口处雨棚装修          </w:t>
      </w:r>
    </w:p>
    <w:p w14:paraId="687695F7">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仿宋_GB2312" w:eastAsia="仿宋_GB2312" w:cs="仿宋_GB2312"/>
          <w:color w:val="auto"/>
          <w:sz w:val="32"/>
          <w:szCs w:val="32"/>
          <w:u w:val="single"/>
          <w:lang w:eastAsia="zh-CN"/>
        </w:rPr>
        <w:t>15</w:t>
      </w:r>
      <w:r>
        <w:rPr>
          <w:rFonts w:hint="eastAsia" w:ascii="仿宋_GB2312" w:hAnsi="仿宋_GB2312" w:eastAsia="仿宋_GB2312" w:cs="仿宋_GB2312"/>
          <w:color w:val="auto"/>
          <w:sz w:val="32"/>
          <w:szCs w:val="32"/>
          <w:u w:val="single"/>
          <w:lang w:val="en-US" w:eastAsia="zh-CN"/>
        </w:rPr>
        <w:t xml:space="preserve">天                        </w:t>
      </w:r>
    </w:p>
    <w:p w14:paraId="1E2BE195">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r>
        <w:rPr>
          <w:rFonts w:hint="eastAsia" w:ascii="仿宋_GB2312" w:hAnsi="仿宋_GB2312" w:eastAsia="仿宋_GB2312" w:cs="仿宋_GB2312"/>
          <w:color w:val="auto"/>
          <w:sz w:val="32"/>
          <w:szCs w:val="32"/>
          <w:u w:val="single"/>
          <w:lang w:val="en-US" w:eastAsia="zh-CN"/>
        </w:rPr>
        <w:t xml:space="preserve"> 大堂入口处雨棚装修施工      </w:t>
      </w:r>
    </w:p>
    <w:p w14:paraId="64044831">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none"/>
          <w:lang w:val="en-US" w:eastAsia="zh-CN"/>
        </w:rPr>
      </w:pPr>
      <w:bookmarkStart w:id="7" w:name="_Toc28481"/>
      <w:r>
        <w:rPr>
          <w:rFonts w:hint="eastAsia" w:ascii="仿宋_GB2312" w:hAnsi="仿宋_GB2312" w:eastAsia="仿宋_GB2312" w:cs="仿宋_GB2312"/>
          <w:color w:val="auto"/>
          <w:sz w:val="32"/>
          <w:szCs w:val="32"/>
          <w:u w:val="none"/>
          <w:lang w:val="en-US" w:eastAsia="zh-CN"/>
        </w:rPr>
        <w:t>6.最高含税限价：</w:t>
      </w:r>
      <w:bookmarkEnd w:id="7"/>
      <w:r>
        <w:rPr>
          <w:rFonts w:hint="eastAsia" w:ascii="仿宋_GB2312" w:hAnsi="仿宋_GB2312" w:eastAsia="仿宋_GB2312" w:cs="仿宋_GB2312"/>
          <w:color w:val="auto"/>
          <w:sz w:val="32"/>
          <w:szCs w:val="32"/>
          <w:u w:val="single"/>
          <w:lang w:val="en-US" w:eastAsia="zh-CN"/>
        </w:rPr>
        <w:t xml:space="preserve"> 124370.67元</w:t>
      </w:r>
      <w:r>
        <w:rPr>
          <w:rFonts w:hint="eastAsia" w:ascii="仿宋_GB2312" w:hAnsi="仿宋_GB2312" w:eastAsia="仿宋_GB2312" w:cs="仿宋_GB2312"/>
          <w:color w:val="auto"/>
          <w:sz w:val="32"/>
          <w:szCs w:val="32"/>
          <w:u w:val="none"/>
          <w:lang w:val="en-US" w:eastAsia="zh-CN"/>
        </w:rPr>
        <w:t xml:space="preserve">，供应商的含税报价不得超出最高含税限价，否则其响应将判定为无效响应。             </w:t>
      </w:r>
    </w:p>
    <w:p w14:paraId="0E067F4B">
      <w:pPr>
        <w:keepNext w:val="0"/>
        <w:keepLines w:val="0"/>
        <w:pageBreakBefore w:val="0"/>
        <w:numPr>
          <w:ilvl w:val="0"/>
          <w:numId w:val="2"/>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8" w:name="_Toc3240"/>
      <w:bookmarkStart w:id="9" w:name="_Toc31181"/>
      <w:bookmarkStart w:id="10" w:name="_Toc22929"/>
      <w:bookmarkStart w:id="11" w:name="_Toc11230"/>
      <w:r>
        <w:rPr>
          <w:rFonts w:hint="eastAsia" w:ascii="楷体" w:hAnsi="楷体" w:eastAsia="楷体" w:cs="楷体"/>
          <w:b/>
          <w:bCs/>
          <w:color w:val="auto"/>
          <w:sz w:val="32"/>
          <w:szCs w:val="32"/>
          <w:lang w:val="en-US" w:eastAsia="zh-CN"/>
        </w:rPr>
        <w:t>供应商资格条件：</w:t>
      </w:r>
      <w:bookmarkEnd w:id="8"/>
      <w:bookmarkEnd w:id="9"/>
      <w:bookmarkEnd w:id="10"/>
    </w:p>
    <w:p w14:paraId="1551C9AB">
      <w:pPr>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14:paraId="43B08388">
      <w:pPr>
        <w:pStyle w:val="9"/>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1.具有独立承担民事责任的能力；</w:t>
      </w:r>
    </w:p>
    <w:p w14:paraId="2B186508">
      <w:pPr>
        <w:pStyle w:val="8"/>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14:paraId="11B677D8">
      <w:pPr>
        <w:pStyle w:val="8"/>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3.具有履行合同所必需的设备和专业技术能力；</w:t>
      </w:r>
    </w:p>
    <w:p w14:paraId="2D985324">
      <w:pPr>
        <w:pStyle w:val="8"/>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14:paraId="23BABD6F">
      <w:pPr>
        <w:pStyle w:val="8"/>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5.参加询价采购活动前三年内，在经营活动中没有重大违法记录。</w:t>
      </w:r>
    </w:p>
    <w:p w14:paraId="23E8A031">
      <w:pPr>
        <w:pStyle w:val="5"/>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baseline"/>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color w:val="auto"/>
          <w:kern w:val="0"/>
          <w:sz w:val="32"/>
          <w:szCs w:val="32"/>
          <w:u w:val="none"/>
          <w:lang w:val="en-US" w:eastAsia="zh-CN" w:bidi="ar"/>
        </w:rPr>
        <w:t>6.</w:t>
      </w:r>
      <w:r>
        <w:rPr>
          <w:rFonts w:hint="eastAsia" w:ascii="仿宋_GB2312" w:hAnsi="仿宋_GB2312" w:eastAsia="仿宋_GB2312" w:cs="仿宋_GB2312"/>
          <w:color w:val="auto"/>
          <w:kern w:val="0"/>
          <w:sz w:val="32"/>
          <w:szCs w:val="32"/>
          <w:u w:val="single"/>
          <w:lang w:val="en-US" w:eastAsia="zh-CN" w:bidi="ar"/>
        </w:rPr>
        <w:t>建筑工程施工总承包三级或三级以上资质</w:t>
      </w:r>
      <w:r>
        <w:rPr>
          <w:rFonts w:hint="default" w:ascii="仿宋_GB2312" w:hAnsi="仿宋_GB2312" w:eastAsia="仿宋_GB2312" w:cs="仿宋_GB2312"/>
          <w:color w:val="auto"/>
          <w:kern w:val="0"/>
          <w:sz w:val="32"/>
          <w:szCs w:val="32"/>
          <w:u w:val="single"/>
          <w:lang w:eastAsia="zh-CN" w:bidi="ar"/>
        </w:rPr>
        <w:t>,</w:t>
      </w:r>
      <w:r>
        <w:rPr>
          <w:rFonts w:hint="eastAsia" w:ascii="仿宋_GB2312" w:hAnsi="仿宋_GB2312" w:eastAsia="仿宋_GB2312" w:cs="仿宋_GB2312"/>
          <w:i w:val="0"/>
          <w:iCs w:val="0"/>
          <w:caps w:val="0"/>
          <w:color w:val="000000"/>
          <w:spacing w:val="0"/>
          <w:sz w:val="32"/>
          <w:szCs w:val="32"/>
          <w:u w:val="single"/>
          <w:shd w:val="clear" w:fill="FFFFFF"/>
        </w:rPr>
        <w:t>具备有效期内的安全生产许可证（建筑施工）。</w:t>
      </w:r>
      <w:r>
        <w:rPr>
          <w:rFonts w:ascii="宋体" w:hAnsi="宋体" w:eastAsia="宋体" w:cs="宋体"/>
          <w:sz w:val="24"/>
          <w:szCs w:val="24"/>
          <w:u w:val="single"/>
        </w:rPr>
        <w:t xml:space="preserve"> </w:t>
      </w:r>
    </w:p>
    <w:p w14:paraId="26DF5B24">
      <w:pPr>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single"/>
          <w:lang w:val="en-US" w:eastAsia="zh-CN" w:bidi="ar"/>
        </w:rPr>
        <w:t>其他要求</w:t>
      </w:r>
    </w:p>
    <w:p w14:paraId="6CA46983">
      <w:pPr>
        <w:pStyle w:val="9"/>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498B491E">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66418267">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3.本项目不接受联合体响应。</w:t>
      </w:r>
    </w:p>
    <w:p w14:paraId="2737CBEC">
      <w:pPr>
        <w:keepNext w:val="0"/>
        <w:keepLines w:val="0"/>
        <w:pageBreakBefore w:val="0"/>
        <w:numPr>
          <w:ilvl w:val="0"/>
          <w:numId w:val="2"/>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2" w:name="_Toc6352"/>
      <w:bookmarkStart w:id="13" w:name="_Toc26361"/>
      <w:bookmarkStart w:id="14" w:name="_Toc30076"/>
      <w:r>
        <w:rPr>
          <w:rFonts w:hint="eastAsia" w:ascii="楷体" w:hAnsi="楷体" w:eastAsia="楷体" w:cs="楷体"/>
          <w:b/>
          <w:bCs/>
          <w:color w:val="auto"/>
          <w:sz w:val="32"/>
          <w:szCs w:val="32"/>
          <w:lang w:val="en-US" w:eastAsia="zh-CN"/>
        </w:rPr>
        <w:t>拟派人员资格要求：</w:t>
      </w:r>
      <w:bookmarkEnd w:id="12"/>
      <w:bookmarkEnd w:id="13"/>
      <w:bookmarkEnd w:id="14"/>
    </w:p>
    <w:p w14:paraId="61A5BB04">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420" w:leftChars="200" w:right="0" w:firstLine="0" w:firstLineChars="0"/>
        <w:jc w:val="both"/>
        <w:textAlignment w:val="auto"/>
        <w:rPr>
          <w:rFonts w:hint="default" w:ascii="仿宋_GB2312" w:hAnsi="仿宋_GB2312" w:eastAsia="仿宋_GB2312" w:cs="仿宋_GB2312"/>
          <w:color w:val="auto"/>
          <w:sz w:val="32"/>
          <w:szCs w:val="32"/>
          <w:u w:val="single"/>
          <w:lang w:eastAsia="zh-CN"/>
        </w:rPr>
      </w:pPr>
      <w:r>
        <w:rPr>
          <w:rFonts w:hint="eastAsia" w:ascii="仿宋_GB2312" w:hAnsi="仿宋_GB2312" w:eastAsia="仿宋_GB2312" w:cs="仿宋_GB2312"/>
          <w:color w:val="auto"/>
          <w:sz w:val="32"/>
          <w:szCs w:val="32"/>
          <w:u w:val="none"/>
          <w:lang w:val="en-US" w:eastAsia="zh-CN"/>
        </w:rPr>
        <w:t xml:space="preserve"> </w:t>
      </w:r>
      <w:r>
        <w:rPr>
          <w:rFonts w:hint="default" w:ascii="仿宋_GB2312" w:hAnsi="仿宋_GB2312" w:eastAsia="仿宋_GB2312" w:cs="仿宋_GB2312"/>
          <w:color w:val="auto"/>
          <w:sz w:val="32"/>
          <w:szCs w:val="32"/>
          <w:u w:val="none"/>
          <w:lang w:eastAsia="zh-CN"/>
        </w:rPr>
        <w:t xml:space="preserve">    </w:t>
      </w:r>
      <w:r>
        <w:rPr>
          <w:rFonts w:hint="default" w:ascii="仿宋_GB2312" w:hAnsi="仿宋_GB2312" w:eastAsia="仿宋_GB2312" w:cs="仿宋_GB2312"/>
          <w:color w:val="auto"/>
          <w:sz w:val="32"/>
          <w:szCs w:val="32"/>
          <w:u w:val="single"/>
          <w:lang w:eastAsia="zh-CN"/>
        </w:rPr>
        <w:t>项目负责人需有</w:t>
      </w:r>
      <w:r>
        <w:rPr>
          <w:rFonts w:hint="eastAsia" w:ascii="仿宋_GB2312" w:hAnsi="仿宋_GB2312" w:eastAsia="仿宋_GB2312" w:cs="仿宋_GB2312"/>
          <w:color w:val="auto"/>
          <w:sz w:val="32"/>
          <w:szCs w:val="32"/>
          <w:u w:val="single"/>
          <w:lang w:val="en-US" w:eastAsia="zh-CN"/>
        </w:rPr>
        <w:t>二级建造师</w:t>
      </w:r>
      <w:r>
        <w:rPr>
          <w:rFonts w:hint="default" w:ascii="仿宋_GB2312" w:hAnsi="仿宋_GB2312" w:eastAsia="仿宋_GB2312" w:cs="仿宋_GB2312"/>
          <w:color w:val="auto"/>
          <w:sz w:val="32"/>
          <w:szCs w:val="32"/>
          <w:u w:val="single"/>
          <w:lang w:eastAsia="zh-CN"/>
        </w:rPr>
        <w:t>（含）或以上资质</w:t>
      </w:r>
      <w:r>
        <w:rPr>
          <w:rFonts w:hint="default" w:ascii="仿宋_GB2312" w:hAnsi="Calibri" w:eastAsia="仿宋_GB2312" w:cs="仿宋_GB2312"/>
          <w:kern w:val="2"/>
          <w:sz w:val="32"/>
          <w:szCs w:val="32"/>
          <w:u w:val="single"/>
          <w:lang w:val="en-US" w:eastAsia="zh-CN" w:bidi="ar"/>
        </w:rPr>
        <w:t>（建筑工程专业）并具有安全生产考核合格证书（安全B证）</w:t>
      </w:r>
      <w:r>
        <w:rPr>
          <w:rFonts w:hint="default" w:ascii="仿宋_GB2312" w:hAnsi="Calibri" w:eastAsia="仿宋_GB2312" w:cs="仿宋_GB2312"/>
          <w:kern w:val="2"/>
          <w:sz w:val="32"/>
          <w:szCs w:val="32"/>
          <w:u w:val="single"/>
          <w:lang w:eastAsia="zh-CN" w:bidi="ar"/>
        </w:rPr>
        <w:t>，</w:t>
      </w:r>
      <w:r>
        <w:rPr>
          <w:rFonts w:hint="default" w:ascii="仿宋_GB2312" w:hAnsi="Calibri" w:eastAsia="仿宋_GB2312" w:cs="仿宋_GB2312"/>
          <w:kern w:val="0"/>
          <w:sz w:val="32"/>
          <w:szCs w:val="32"/>
          <w:u w:val="single"/>
          <w:lang w:val="en-US" w:eastAsia="zh-CN" w:bidi="ar"/>
        </w:rPr>
        <w:t>并配置最少一名专职安全员，安全员需具备</w:t>
      </w:r>
      <w:r>
        <w:rPr>
          <w:rFonts w:hint="default" w:ascii="仿宋_GB2312" w:hAnsi="Calibri" w:eastAsia="仿宋_GB2312" w:cs="仿宋_GB2312"/>
          <w:kern w:val="2"/>
          <w:sz w:val="32"/>
          <w:szCs w:val="32"/>
          <w:u w:val="single"/>
          <w:lang w:val="en-US" w:eastAsia="zh-CN" w:bidi="ar"/>
        </w:rPr>
        <w:t>安全生产考核合格证书（安全C证）</w:t>
      </w:r>
      <w:r>
        <w:rPr>
          <w:rFonts w:hint="default" w:ascii="仿宋_GB2312" w:hAnsi="Calibri" w:eastAsia="仿宋_GB2312" w:cs="仿宋_GB2312"/>
          <w:kern w:val="2"/>
          <w:sz w:val="32"/>
          <w:szCs w:val="32"/>
          <w:u w:val="single"/>
          <w:lang w:eastAsia="zh-CN" w:bidi="ar"/>
        </w:rPr>
        <w:t>。</w:t>
      </w:r>
      <w:r>
        <w:rPr>
          <w:rFonts w:hint="default" w:ascii="仿宋_GB2312" w:hAnsi="Calibri" w:eastAsia="仿宋_GB2312" w:cs="仿宋_GB2312"/>
          <w:kern w:val="0"/>
          <w:sz w:val="32"/>
          <w:szCs w:val="32"/>
          <w:u w:val="single"/>
          <w:lang w:val="en-US" w:eastAsia="zh-CN" w:bidi="ar"/>
        </w:rPr>
        <w:t>建筑施工特种作业人员需持特种作业人员操作资格证书上岗作业，</w:t>
      </w:r>
      <w:r>
        <w:rPr>
          <w:rFonts w:hint="default" w:ascii="仿宋_GB2312" w:hAnsi="Calibri" w:eastAsia="仿宋_GB2312" w:cs="仿宋_GB2312"/>
          <w:kern w:val="0"/>
          <w:sz w:val="32"/>
          <w:szCs w:val="32"/>
          <w:u w:val="single"/>
          <w:lang w:eastAsia="zh-CN" w:bidi="ar"/>
        </w:rPr>
        <w:t>中选</w:t>
      </w:r>
      <w:r>
        <w:rPr>
          <w:rFonts w:hint="default" w:ascii="仿宋_GB2312" w:hAnsi="Calibri" w:eastAsia="仿宋_GB2312" w:cs="仿宋_GB2312"/>
          <w:kern w:val="0"/>
          <w:sz w:val="32"/>
          <w:szCs w:val="32"/>
          <w:u w:val="single"/>
          <w:lang w:val="en-US" w:eastAsia="zh-CN" w:bidi="ar"/>
        </w:rPr>
        <w:t>人对本项目施工全过程及安全生产工作负责</w:t>
      </w:r>
      <w:r>
        <w:rPr>
          <w:rFonts w:hint="default" w:ascii="仿宋_GB2312" w:hAnsi="仿宋_GB2312" w:eastAsia="仿宋_GB2312" w:cs="仿宋_GB2312"/>
          <w:color w:val="auto"/>
          <w:sz w:val="32"/>
          <w:szCs w:val="32"/>
          <w:u w:val="single"/>
          <w:lang w:eastAsia="zh-CN"/>
        </w:rPr>
        <w:t>。</w:t>
      </w:r>
    </w:p>
    <w:p w14:paraId="164CF131">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28288"/>
      <w:bookmarkStart w:id="16" w:name="_Toc26856"/>
      <w:bookmarkStart w:id="17" w:name="_Toc12136"/>
      <w:bookmarkStart w:id="18" w:name="_Toc17066"/>
      <w:bookmarkStart w:id="19" w:name="_Toc14265"/>
      <w:r>
        <w:rPr>
          <w:rFonts w:hint="eastAsia" w:ascii="楷体" w:hAnsi="楷体" w:eastAsia="楷体" w:cs="楷体"/>
          <w:b/>
          <w:bCs/>
          <w:color w:val="auto"/>
          <w:sz w:val="32"/>
          <w:szCs w:val="32"/>
          <w:lang w:val="en-US" w:eastAsia="zh-CN"/>
        </w:rPr>
        <w:t>询价文件获取：</w:t>
      </w:r>
      <w:bookmarkEnd w:id="15"/>
      <w:bookmarkEnd w:id="16"/>
      <w:bookmarkEnd w:id="17"/>
      <w:bookmarkEnd w:id="18"/>
    </w:p>
    <w:p w14:paraId="4A190577">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rPr>
        <w:t>公告页下载。</w:t>
      </w:r>
    </w:p>
    <w:p w14:paraId="4AD205E4">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0" w:name="_Toc1062"/>
      <w:bookmarkStart w:id="21" w:name="_Toc1839"/>
      <w:bookmarkStart w:id="22" w:name="_Toc2772"/>
      <w:r>
        <w:rPr>
          <w:rFonts w:hint="eastAsia" w:ascii="楷体" w:hAnsi="楷体" w:eastAsia="楷体" w:cs="楷体"/>
          <w:b/>
          <w:bCs/>
          <w:color w:val="auto"/>
          <w:sz w:val="32"/>
          <w:szCs w:val="32"/>
          <w:lang w:val="en-US" w:eastAsia="zh-CN"/>
        </w:rPr>
        <w:t>响应文件：</w:t>
      </w:r>
      <w:bookmarkEnd w:id="19"/>
      <w:bookmarkEnd w:id="20"/>
      <w:bookmarkEnd w:id="21"/>
      <w:bookmarkEnd w:id="22"/>
    </w:p>
    <w:p w14:paraId="2A8C6ED1">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仿宋_GB2312" w:eastAsia="仿宋_GB2312" w:cs="仿宋_GB2312"/>
          <w:color w:val="auto"/>
          <w:sz w:val="32"/>
          <w:szCs w:val="32"/>
          <w:lang w:val="en-US" w:eastAsia="zh-CN"/>
        </w:rPr>
        <w:t>提交的</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1"/>
    </w:p>
    <w:p w14:paraId="5A968C5A">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5175"/>
      <w:bookmarkStart w:id="24" w:name="_Toc9960"/>
      <w:bookmarkStart w:id="25" w:name="_Toc6684"/>
      <w:r>
        <w:rPr>
          <w:rFonts w:hint="eastAsia" w:ascii="楷体" w:hAnsi="楷体" w:eastAsia="楷体" w:cs="楷体"/>
          <w:b/>
          <w:bCs/>
          <w:color w:val="auto"/>
          <w:sz w:val="32"/>
          <w:szCs w:val="32"/>
          <w:lang w:val="en-US" w:eastAsia="zh-CN"/>
        </w:rPr>
        <w:t>现场踏勘：</w:t>
      </w:r>
      <w:bookmarkEnd w:id="23"/>
      <w:bookmarkEnd w:id="24"/>
      <w:bookmarkEnd w:id="25"/>
    </w:p>
    <w:p w14:paraId="34843B0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
      <w:bookmarkStart w:id="26" w:name="_Toc20948"/>
      <w:bookmarkStart w:id="27" w:name="_Toc12245"/>
      <w:bookmarkStart w:id="28" w:name="_Toc22247"/>
      <w:bookmarkStart w:id="29" w:name="_Toc25551"/>
      <w:r>
        <w:rPr>
          <w:rFonts w:hint="eastAsia" w:ascii="仿宋_GB2312" w:hAnsi="仿宋_GB2312" w:eastAsia="仿宋_GB2312" w:cs="仿宋_GB2312"/>
          <w:color w:val="auto"/>
          <w:sz w:val="32"/>
          <w:szCs w:val="32"/>
          <w:lang w:val="en-US" w:eastAsia="zh-CN"/>
        </w:rPr>
        <w:t>供应商自行前往踏勘，踏勘截止时间为</w:t>
      </w:r>
      <w:r>
        <w:rPr>
          <w:rFonts w:hint="eastAsia" w:ascii="仿宋_GB2312" w:hAnsi="仿宋_GB2312" w:eastAsia="仿宋_GB2312" w:cs="仿宋_GB2312"/>
          <w:color w:val="auto"/>
          <w:sz w:val="32"/>
          <w:szCs w:val="32"/>
          <w:u w:val="single"/>
          <w:lang w:val="en-US" w:eastAsia="zh-CN"/>
        </w:rPr>
        <w:t xml:space="preserve"> 2024 </w:t>
      </w:r>
      <w:r>
        <w:rPr>
          <w:rFonts w:hint="eastAsia"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single"/>
          <w:lang w:val="en-US" w:eastAsia="zh-CN"/>
        </w:rPr>
        <w:t xml:space="preserve"> 10 </w:t>
      </w:r>
      <w:r>
        <w:rPr>
          <w:rFonts w:hint="eastAsia"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single"/>
          <w:lang w:val="en-US" w:eastAsia="zh-CN"/>
        </w:rPr>
        <w:t>10</w:t>
      </w:r>
      <w:r>
        <w:rPr>
          <w:rFonts w:hint="eastAsia" w:ascii="仿宋_GB2312" w:hAnsi="仿宋_GB2312" w:eastAsia="仿宋_GB2312" w:cs="仿宋_GB2312"/>
          <w:color w:val="auto"/>
          <w:sz w:val="32"/>
          <w:szCs w:val="32"/>
          <w:u w:val="none"/>
          <w:lang w:val="en-US" w:eastAsia="zh-CN"/>
        </w:rPr>
        <w:t>日</w:t>
      </w:r>
      <w:r>
        <w:rPr>
          <w:rFonts w:hint="eastAsia" w:ascii="仿宋_GB2312" w:hAnsi="仿宋_GB2312" w:eastAsia="仿宋_GB2312" w:cs="仿宋_GB2312"/>
          <w:color w:val="auto"/>
          <w:sz w:val="32"/>
          <w:szCs w:val="32"/>
          <w:u w:val="single"/>
          <w:lang w:val="en-US" w:eastAsia="zh-CN"/>
        </w:rPr>
        <w:t xml:space="preserve"> 16 </w:t>
      </w:r>
      <w:r>
        <w:rPr>
          <w:rFonts w:hint="eastAsia" w:ascii="仿宋_GB2312" w:hAnsi="仿宋_GB2312" w:eastAsia="仿宋_GB2312" w:cs="仿宋_GB2312"/>
          <w:color w:val="auto"/>
          <w:sz w:val="32"/>
          <w:szCs w:val="32"/>
          <w:u w:val="none"/>
          <w:lang w:val="en-US" w:eastAsia="zh-CN"/>
        </w:rPr>
        <w:t>时，踏勘联系人：</w:t>
      </w:r>
      <w:r>
        <w:rPr>
          <w:rFonts w:hint="eastAsia" w:ascii="仿宋_GB2312" w:hAnsi="仿宋_GB2312" w:eastAsia="仿宋_GB2312" w:cs="仿宋_GB2312"/>
          <w:color w:val="auto"/>
          <w:sz w:val="32"/>
          <w:szCs w:val="32"/>
          <w:u w:val="single"/>
          <w:lang w:val="en-US" w:eastAsia="zh-CN"/>
        </w:rPr>
        <w:t xml:space="preserve"> 尹德强 </w:t>
      </w:r>
      <w:r>
        <w:rPr>
          <w:rFonts w:hint="eastAsia" w:ascii="仿宋_GB2312" w:hAnsi="仿宋_GB2312" w:eastAsia="仿宋_GB2312" w:cs="仿宋_GB2312"/>
          <w:color w:val="auto"/>
          <w:sz w:val="32"/>
          <w:szCs w:val="32"/>
          <w:u w:val="none"/>
          <w:lang w:val="en-US" w:eastAsia="zh-CN"/>
        </w:rPr>
        <w:t>，联系电话：</w:t>
      </w:r>
      <w:bookmarkEnd w:id="26"/>
      <w:bookmarkEnd w:id="27"/>
      <w:bookmarkEnd w:id="28"/>
      <w:r>
        <w:rPr>
          <w:rFonts w:hint="eastAsia" w:ascii="仿宋_GB2312" w:hAnsi="仿宋_GB2312" w:eastAsia="仿宋_GB2312" w:cs="仿宋_GB2312"/>
          <w:color w:val="auto"/>
          <w:sz w:val="32"/>
          <w:szCs w:val="32"/>
          <w:u w:val="single"/>
          <w:lang w:val="en-US" w:eastAsia="zh-CN"/>
        </w:rPr>
        <w:t xml:space="preserve">19914778863 </w:t>
      </w:r>
      <w:bookmarkEnd w:id="29"/>
    </w:p>
    <w:p w14:paraId="766D2A37">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0" w:name="_Toc25886"/>
      <w:bookmarkStart w:id="31" w:name="_Toc736"/>
      <w:bookmarkStart w:id="32" w:name="_Toc26105"/>
      <w:r>
        <w:rPr>
          <w:rFonts w:hint="eastAsia" w:ascii="楷体" w:hAnsi="楷体" w:eastAsia="楷体" w:cs="楷体"/>
          <w:b/>
          <w:bCs/>
          <w:color w:val="auto"/>
          <w:sz w:val="32"/>
          <w:szCs w:val="32"/>
          <w:lang w:val="en-US" w:eastAsia="zh-CN"/>
        </w:rPr>
        <w:t>询价文件澄清或答疑：</w:t>
      </w:r>
      <w:bookmarkEnd w:id="30"/>
      <w:bookmarkEnd w:id="31"/>
      <w:bookmarkEnd w:id="32"/>
    </w:p>
    <w:p w14:paraId="0D0C75FA">
      <w:pPr>
        <w:pStyle w:val="9"/>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1.供应商以书面形式对询价文件编制过程中存在的问题进行提问，将盖章扫描件送至采购人办公室，截止至：</w:t>
      </w:r>
      <w:r>
        <w:rPr>
          <w:rFonts w:hint="eastAsia" w:ascii="仿宋_GB2312" w:hAnsi="仿宋_GB2312" w:eastAsia="仿宋_GB2312" w:cs="仿宋_GB2312"/>
          <w:color w:val="auto"/>
          <w:kern w:val="0"/>
          <w:sz w:val="32"/>
          <w:szCs w:val="32"/>
          <w:u w:val="single"/>
          <w:lang w:val="en-US" w:eastAsia="zh-CN" w:bidi="ar"/>
        </w:rPr>
        <w:t xml:space="preserve">2024     </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 xml:space="preserve"> 10 </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 xml:space="preserve"> 10 </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 xml:space="preserve"> 16 </w:t>
      </w:r>
      <w:r>
        <w:rPr>
          <w:rFonts w:hint="eastAsia" w:ascii="仿宋_GB2312" w:hAnsi="仿宋_GB2312" w:eastAsia="仿宋_GB2312" w:cs="仿宋_GB2312"/>
          <w:color w:val="auto"/>
          <w:kern w:val="0"/>
          <w:sz w:val="32"/>
          <w:szCs w:val="32"/>
          <w:u w:val="none"/>
          <w:lang w:val="en-US" w:eastAsia="zh-CN" w:bidi="ar"/>
        </w:rPr>
        <w:t>时。</w:t>
      </w:r>
    </w:p>
    <w:p w14:paraId="5E8D1FE2">
      <w:pPr>
        <w:pStyle w:val="9"/>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eastAsia" w:ascii="仿宋_GB2312" w:hAnsi="仿宋_GB2312" w:eastAsia="仿宋_GB2312" w:cs="仿宋_GB2312"/>
          <w:color w:val="auto"/>
          <w:kern w:val="0"/>
          <w:sz w:val="32"/>
          <w:szCs w:val="32"/>
          <w:u w:val="single"/>
          <w:lang w:val="en-US" w:eastAsia="zh-CN" w:bidi="ar"/>
        </w:rPr>
        <w:t xml:space="preserve"> 2024 </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 xml:space="preserve"> 10 </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 xml:space="preserve"> 11 </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 xml:space="preserve"> 15 </w:t>
      </w:r>
      <w:r>
        <w:rPr>
          <w:rFonts w:hint="eastAsia" w:ascii="仿宋_GB2312" w:hAnsi="仿宋_GB2312" w:eastAsia="仿宋_GB2312" w:cs="仿宋_GB2312"/>
          <w:color w:val="auto"/>
          <w:kern w:val="0"/>
          <w:sz w:val="32"/>
          <w:szCs w:val="32"/>
          <w:u w:val="none"/>
          <w:lang w:val="en-US" w:eastAsia="zh-CN" w:bidi="ar"/>
        </w:rPr>
        <w:t>时前对供应商提出的疑问解答汇总形成书面文件通知所有获取询价文件的供应商。</w:t>
      </w:r>
    </w:p>
    <w:p w14:paraId="483640D8">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14039"/>
      <w:bookmarkStart w:id="34" w:name="_Toc10769"/>
      <w:bookmarkStart w:id="35" w:name="_Toc9026"/>
      <w:bookmarkStart w:id="36" w:name="_Toc31627"/>
      <w:r>
        <w:rPr>
          <w:rFonts w:hint="eastAsia" w:ascii="楷体" w:hAnsi="楷体" w:eastAsia="楷体" w:cs="楷体"/>
          <w:b/>
          <w:bCs/>
          <w:color w:val="auto"/>
          <w:sz w:val="32"/>
          <w:szCs w:val="32"/>
          <w:lang w:val="en-US" w:eastAsia="zh-CN"/>
        </w:rPr>
        <w:t>询价时间、地点：</w:t>
      </w:r>
      <w:bookmarkEnd w:id="33"/>
      <w:bookmarkEnd w:id="34"/>
      <w:bookmarkEnd w:id="35"/>
      <w:bookmarkEnd w:id="36"/>
    </w:p>
    <w:p w14:paraId="5C26A858">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响应文件递交截止时间和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 xml:space="preserve"> 2024 </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 xml:space="preserve"> 10 </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11</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single"/>
          <w:lang w:val="en-US" w:eastAsia="zh-CN"/>
        </w:rPr>
        <w:t xml:space="preserve"> 16</w:t>
      </w:r>
      <w:bookmarkStart w:id="97" w:name="_GoBack"/>
      <w:bookmarkEnd w:id="97"/>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14:paraId="438FBAA9">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章贡区</w:t>
      </w:r>
      <w:r>
        <w:rPr>
          <w:rFonts w:hint="default" w:ascii="仿宋_GB2312" w:hAnsi="仿宋_GB2312" w:eastAsia="仿宋_GB2312" w:cs="仿宋_GB2312"/>
          <w:color w:val="auto"/>
          <w:sz w:val="32"/>
          <w:szCs w:val="32"/>
          <w:u w:val="single"/>
          <w:lang w:eastAsia="zh-CN"/>
        </w:rPr>
        <w:t>赣江源大道15号赣州旅投集团7楼开标室</w:t>
      </w:r>
      <w:r>
        <w:rPr>
          <w:rFonts w:hint="eastAsia" w:ascii="仿宋_GB2312" w:hAnsi="仿宋_GB2312" w:eastAsia="仿宋_GB2312" w:cs="仿宋_GB2312"/>
          <w:b w:val="0"/>
          <w:bCs w:val="0"/>
          <w:color w:val="auto"/>
          <w:sz w:val="32"/>
          <w:szCs w:val="32"/>
          <w:u w:val="single"/>
          <w:lang w:val="en-US" w:eastAsia="zh-CN"/>
        </w:rPr>
        <w:t>。</w:t>
      </w:r>
    </w:p>
    <w:p w14:paraId="387A34F9">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章贡区</w:t>
      </w:r>
      <w:r>
        <w:rPr>
          <w:rFonts w:hint="default" w:ascii="仿宋_GB2312" w:hAnsi="仿宋_GB2312" w:eastAsia="仿宋_GB2312" w:cs="仿宋_GB2312"/>
          <w:color w:val="auto"/>
          <w:sz w:val="32"/>
          <w:szCs w:val="32"/>
          <w:u w:val="single"/>
          <w:lang w:eastAsia="zh-CN"/>
        </w:rPr>
        <w:t>赣江源大道15号赣州旅投集团7楼开标室</w:t>
      </w:r>
      <w:r>
        <w:rPr>
          <w:rFonts w:hint="eastAsia" w:ascii="仿宋_GB2312" w:hAnsi="仿宋_GB2312" w:eastAsia="仿宋_GB2312" w:cs="仿宋_GB2312"/>
          <w:color w:val="auto"/>
          <w:sz w:val="32"/>
          <w:szCs w:val="32"/>
          <w:u w:val="single"/>
        </w:rPr>
        <w:t>。</w:t>
      </w:r>
    </w:p>
    <w:p w14:paraId="24C03FC0">
      <w:pPr>
        <w:keepNext w:val="0"/>
        <w:keepLines w:val="0"/>
        <w:pageBreakBefore w:val="0"/>
        <w:widowControl w:val="0"/>
        <w:numPr>
          <w:ilvl w:val="0"/>
          <w:numId w:val="2"/>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37" w:name="_Toc9726"/>
      <w:bookmarkStart w:id="38" w:name="_Toc31921"/>
      <w:bookmarkStart w:id="39" w:name="_Toc7230"/>
      <w:bookmarkStart w:id="40" w:name="_Toc1966"/>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37"/>
      <w:r>
        <w:rPr>
          <w:rFonts w:hint="eastAsia" w:ascii="楷体" w:hAnsi="楷体" w:eastAsia="楷体" w:cs="楷体"/>
          <w:b/>
          <w:bCs/>
          <w:color w:val="auto"/>
          <w:sz w:val="32"/>
          <w:szCs w:val="32"/>
          <w:lang w:val="en-US" w:eastAsia="zh-CN"/>
        </w:rPr>
        <w:t>：</w:t>
      </w:r>
      <w:bookmarkEnd w:id="38"/>
      <w:bookmarkEnd w:id="39"/>
      <w:bookmarkEnd w:id="40"/>
    </w:p>
    <w:p w14:paraId="14FAB9A2">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 </w:t>
      </w:r>
      <w:r>
        <w:rPr>
          <w:rFonts w:hint="eastAsia" w:ascii="仿宋_GB2312" w:hAnsi="仿宋_GB2312" w:eastAsia="仿宋_GB2312" w:cs="仿宋_GB2312"/>
          <w:b w:val="0"/>
          <w:bCs w:val="0"/>
          <w:color w:val="auto"/>
          <w:sz w:val="32"/>
          <w:szCs w:val="32"/>
          <w:u w:val="none"/>
          <w:lang w:val="en-US" w:eastAsia="zh-CN"/>
        </w:rPr>
        <w:t>元）。</w:t>
      </w:r>
    </w:p>
    <w:p w14:paraId="75E2F453">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14:paraId="0D77BD5B">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u w:val="single"/>
          <w:lang w:val="en-US" w:eastAsia="zh-CN"/>
        </w:rPr>
        <w:t xml:space="preserve">   /                     </w:t>
      </w:r>
      <w:r>
        <w:rPr>
          <w:rFonts w:hint="eastAsia" w:ascii="仿宋_GB2312" w:hAnsi="仿宋_GB2312" w:eastAsia="仿宋_GB2312" w:cs="仿宋_GB2312"/>
          <w:b/>
          <w:color w:val="auto"/>
          <w:sz w:val="32"/>
          <w:szCs w:val="32"/>
        </w:rPr>
        <w:t xml:space="preserve"> </w:t>
      </w:r>
    </w:p>
    <w:p w14:paraId="1E920794">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                     </w:t>
      </w:r>
      <w:r>
        <w:rPr>
          <w:rFonts w:hint="eastAsia" w:ascii="仿宋_GB2312" w:hAnsi="仿宋_GB2312" w:eastAsia="仿宋_GB2312" w:cs="仿宋_GB2312"/>
          <w:b/>
          <w:color w:val="auto"/>
          <w:sz w:val="32"/>
          <w:szCs w:val="32"/>
        </w:rPr>
        <w:t>  </w:t>
      </w:r>
    </w:p>
    <w:p w14:paraId="6D3E60A5">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                     </w:t>
      </w:r>
    </w:p>
    <w:p w14:paraId="44BBAA8C">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41" w:name="_Toc28407"/>
      <w:bookmarkStart w:id="42" w:name="_Toc20184"/>
      <w:bookmarkStart w:id="43" w:name="_Toc1702"/>
      <w:r>
        <w:rPr>
          <w:rFonts w:hint="eastAsia" w:ascii="仿宋_GB2312" w:hAnsi="仿宋_GB2312" w:eastAsia="仿宋_GB2312" w:cs="仿宋_GB2312"/>
          <w:b/>
          <w:color w:val="auto"/>
          <w:sz w:val="32"/>
          <w:szCs w:val="32"/>
        </w:rPr>
        <w:t>附    言：</w:t>
      </w:r>
      <w:r>
        <w:rPr>
          <w:rFonts w:hint="eastAsia" w:ascii="仿宋_GB2312" w:hAnsi="仿宋_GB2312" w:eastAsia="仿宋_GB2312" w:cs="仿宋_GB2312"/>
          <w:b w:val="0"/>
          <w:bCs/>
          <w:color w:val="auto"/>
          <w:sz w:val="32"/>
          <w:szCs w:val="32"/>
          <w:u w:val="single"/>
          <w:lang w:val="en-US" w:eastAsia="zh-CN"/>
        </w:rPr>
        <w:t xml:space="preserve">   /       </w:t>
      </w:r>
      <w:r>
        <w:rPr>
          <w:rFonts w:hint="eastAsia" w:ascii="仿宋_GB2312" w:hAnsi="仿宋_GB2312" w:eastAsia="仿宋_GB2312" w:cs="仿宋_GB2312"/>
          <w:b w:val="0"/>
          <w:bCs/>
          <w:color w:val="auto"/>
          <w:sz w:val="32"/>
          <w:szCs w:val="32"/>
          <w:lang w:val="en-US" w:eastAsia="zh-CN"/>
        </w:rPr>
        <w:t>项目询价保证金</w:t>
      </w:r>
      <w:bookmarkEnd w:id="41"/>
      <w:bookmarkEnd w:id="42"/>
      <w:bookmarkEnd w:id="43"/>
    </w:p>
    <w:p w14:paraId="38E8EDA8">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p>
    <w:p w14:paraId="610CA10C">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14:paraId="3213F774">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14:paraId="73D9101D">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14:paraId="11887FB4">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14:paraId="0A4D4A87">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14:paraId="15EE22EA">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14:paraId="6AF021B9">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4" w:name="_Toc3380"/>
      <w:bookmarkStart w:id="45" w:name="_Toc5113"/>
      <w:bookmarkStart w:id="46" w:name="_Toc16592"/>
      <w:bookmarkStart w:id="47" w:name="_Toc11861"/>
      <w:r>
        <w:rPr>
          <w:rFonts w:hint="eastAsia" w:ascii="楷体" w:hAnsi="楷体" w:eastAsia="楷体" w:cs="楷体"/>
          <w:b/>
          <w:bCs/>
          <w:color w:val="auto"/>
          <w:sz w:val="32"/>
          <w:szCs w:val="32"/>
          <w:lang w:val="en-US" w:eastAsia="zh-Hans"/>
        </w:rPr>
        <w:t>联系方式：</w:t>
      </w:r>
      <w:bookmarkEnd w:id="44"/>
      <w:bookmarkEnd w:id="45"/>
      <w:bookmarkEnd w:id="46"/>
      <w:bookmarkEnd w:id="47"/>
    </w:p>
    <w:p w14:paraId="0FA1464D">
      <w:pPr>
        <w:keepNext w:val="0"/>
        <w:keepLines w:val="0"/>
        <w:pageBreakBefore w:val="0"/>
        <w:numPr>
          <w:ilvl w:val="0"/>
          <w:numId w:val="0"/>
        </w:numPr>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lang w:val="en-US"/>
        </w:rPr>
      </w:pPr>
      <w:r>
        <w:rPr>
          <w:rFonts w:hint="eastAsia" w:ascii="仿宋_GB2312" w:hAnsi="仿宋_GB2312" w:eastAsia="仿宋_GB2312" w:cs="仿宋_GB2312"/>
          <w:bCs/>
          <w:color w:val="auto"/>
          <w:sz w:val="32"/>
          <w:szCs w:val="32"/>
        </w:rPr>
        <w:t>采购人：</w:t>
      </w:r>
      <w:r>
        <w:rPr>
          <w:rFonts w:hint="eastAsia" w:ascii="仿宋_GB2312" w:hAnsi="仿宋_GB2312" w:eastAsia="仿宋_GB2312" w:cs="仿宋_GB2312"/>
          <w:bCs/>
          <w:color w:val="auto"/>
          <w:sz w:val="32"/>
          <w:szCs w:val="32"/>
          <w:u w:val="single"/>
          <w:lang w:val="en-US" w:eastAsia="zh-CN"/>
        </w:rPr>
        <w:t xml:space="preserve">   赣州缦廷酒店有限公司       </w:t>
      </w:r>
    </w:p>
    <w:p w14:paraId="56984A5B">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地    址：</w:t>
      </w:r>
      <w:r>
        <w:rPr>
          <w:rFonts w:hint="eastAsia" w:ascii="仿宋_GB2312" w:hAnsi="仿宋_GB2312" w:eastAsia="仿宋_GB2312" w:cs="仿宋_GB2312"/>
          <w:bCs/>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章贡区兴国路12号缦廷酒店</w:t>
      </w:r>
      <w:r>
        <w:rPr>
          <w:rFonts w:hint="eastAsia" w:ascii="仿宋_GB2312" w:hAnsi="仿宋_GB2312" w:eastAsia="仿宋_GB2312" w:cs="仿宋_GB2312"/>
          <w:bCs/>
          <w:color w:val="auto"/>
          <w:sz w:val="32"/>
          <w:szCs w:val="32"/>
          <w:u w:val="single"/>
          <w:lang w:val="en-US" w:eastAsia="zh-CN"/>
        </w:rPr>
        <w:t xml:space="preserve">  </w:t>
      </w:r>
    </w:p>
    <w:p w14:paraId="281BAF88">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u w:val="single"/>
          <w:lang w:val="en-US" w:eastAsia="zh-CN"/>
        </w:rPr>
        <w:t>尹德强</w:t>
      </w:r>
      <w:r>
        <w:rPr>
          <w:rFonts w:hint="eastAsia" w:ascii="仿宋_GB2312" w:hAnsi="仿宋_GB2312" w:eastAsia="仿宋_GB2312" w:cs="仿宋_GB2312"/>
          <w:bCs/>
          <w:color w:val="auto"/>
          <w:sz w:val="32"/>
          <w:szCs w:val="32"/>
          <w:highlight w:val="none"/>
          <w:u w:val="single"/>
          <w:lang w:val="en-US" w:eastAsia="zh-CN"/>
        </w:rPr>
        <w:t xml:space="preserve">                     </w:t>
      </w:r>
    </w:p>
    <w:p w14:paraId="4AB134B4">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u w:val="single"/>
          <w:lang w:val="en-US" w:eastAsia="zh-CN"/>
        </w:rPr>
        <w:t xml:space="preserve">19914778863   </w:t>
      </w:r>
      <w:r>
        <w:rPr>
          <w:rFonts w:hint="eastAsia" w:ascii="仿宋_GB2312" w:hAnsi="仿宋_GB2312" w:eastAsia="仿宋_GB2312" w:cs="仿宋_GB2312"/>
          <w:bCs/>
          <w:color w:val="auto"/>
          <w:sz w:val="32"/>
          <w:szCs w:val="32"/>
          <w:highlight w:val="none"/>
          <w:u w:val="single"/>
          <w:lang w:val="en-US" w:eastAsia="zh-CN"/>
        </w:rPr>
        <w:t xml:space="preserve">             </w:t>
      </w:r>
    </w:p>
    <w:p w14:paraId="523C35F1">
      <w:pPr>
        <w:spacing w:line="360" w:lineRule="auto"/>
        <w:jc w:val="center"/>
        <w:outlineLvl w:val="0"/>
        <w:rPr>
          <w:rFonts w:hint="eastAsia" w:ascii="Times New Roman" w:hAnsi="黑体" w:eastAsia="黑体"/>
          <w:b/>
          <w:bCs w:val="0"/>
          <w:color w:val="auto"/>
          <w:sz w:val="32"/>
          <w:szCs w:val="32"/>
        </w:rPr>
      </w:pPr>
      <w:bookmarkStart w:id="48" w:name="_Toc5517"/>
      <w:bookmarkStart w:id="49" w:name="_Toc16627"/>
      <w:bookmarkStart w:id="50" w:name="_Toc27978"/>
      <w:bookmarkStart w:id="51" w:name="_Toc6233"/>
    </w:p>
    <w:p w14:paraId="2045E5F5">
      <w:pPr>
        <w:pStyle w:val="3"/>
        <w:numPr>
          <w:ilvl w:val="-1"/>
          <w:numId w:val="0"/>
        </w:numPr>
        <w:rPr>
          <w:rFonts w:hint="eastAsia"/>
        </w:rPr>
      </w:pPr>
    </w:p>
    <w:p w14:paraId="37DEEF0D">
      <w:pPr>
        <w:spacing w:line="360" w:lineRule="auto"/>
        <w:jc w:val="center"/>
        <w:outlineLvl w:val="0"/>
        <w:rPr>
          <w:rFonts w:hint="eastAsia" w:ascii="Times New Roman" w:hAnsi="黑体" w:eastAsia="黑体"/>
          <w:b/>
          <w:bCs w:val="0"/>
          <w:color w:val="auto"/>
          <w:sz w:val="32"/>
          <w:szCs w:val="32"/>
        </w:rPr>
      </w:pPr>
    </w:p>
    <w:p w14:paraId="73EB4A7D">
      <w:pPr>
        <w:spacing w:line="360" w:lineRule="auto"/>
        <w:jc w:val="center"/>
        <w:outlineLvl w:val="0"/>
        <w:rPr>
          <w:rFonts w:hint="eastAsia" w:ascii="Times New Roman" w:hAnsi="黑体" w:eastAsia="黑体"/>
          <w:b/>
          <w:bCs w:val="0"/>
          <w:color w:val="auto"/>
          <w:sz w:val="32"/>
          <w:szCs w:val="32"/>
        </w:rPr>
      </w:pPr>
    </w:p>
    <w:p w14:paraId="4DA55AC7">
      <w:pPr>
        <w:spacing w:line="360" w:lineRule="auto"/>
        <w:jc w:val="center"/>
        <w:outlineLvl w:val="0"/>
        <w:rPr>
          <w:rFonts w:hint="eastAsia" w:ascii="Times New Roman" w:hAnsi="黑体" w:eastAsia="黑体"/>
          <w:b/>
          <w:bCs w:val="0"/>
          <w:color w:val="auto"/>
          <w:sz w:val="32"/>
          <w:szCs w:val="32"/>
        </w:rPr>
      </w:pPr>
    </w:p>
    <w:p w14:paraId="3B4892E5">
      <w:pPr>
        <w:spacing w:line="360" w:lineRule="auto"/>
        <w:jc w:val="center"/>
        <w:outlineLvl w:val="0"/>
        <w:rPr>
          <w:rFonts w:hint="eastAsia" w:ascii="Times New Roman" w:hAnsi="黑体" w:eastAsia="黑体"/>
          <w:b/>
          <w:bCs w:val="0"/>
          <w:color w:val="auto"/>
          <w:sz w:val="32"/>
          <w:szCs w:val="32"/>
        </w:rPr>
      </w:pPr>
    </w:p>
    <w:p w14:paraId="058A6E06">
      <w:pPr>
        <w:spacing w:line="360" w:lineRule="auto"/>
        <w:jc w:val="center"/>
        <w:outlineLvl w:val="0"/>
        <w:rPr>
          <w:rFonts w:hint="eastAsia" w:ascii="Times New Roman" w:hAnsi="黑体" w:eastAsia="黑体"/>
          <w:b/>
          <w:bCs w:val="0"/>
          <w:color w:val="auto"/>
          <w:sz w:val="32"/>
          <w:szCs w:val="32"/>
        </w:rPr>
      </w:pPr>
    </w:p>
    <w:p w14:paraId="2D28E695">
      <w:pPr>
        <w:spacing w:line="360" w:lineRule="auto"/>
        <w:jc w:val="center"/>
        <w:outlineLvl w:val="0"/>
        <w:rPr>
          <w:rFonts w:hint="eastAsia" w:ascii="Times New Roman" w:hAnsi="黑体" w:eastAsia="黑体"/>
          <w:b/>
          <w:bCs w:val="0"/>
          <w:color w:val="auto"/>
          <w:sz w:val="32"/>
          <w:szCs w:val="32"/>
        </w:rPr>
      </w:pPr>
    </w:p>
    <w:p w14:paraId="7C9C1A1B">
      <w:pPr>
        <w:spacing w:line="360" w:lineRule="auto"/>
        <w:jc w:val="center"/>
        <w:outlineLvl w:val="0"/>
        <w:rPr>
          <w:rFonts w:hint="eastAsia" w:ascii="Times New Roman" w:hAnsi="黑体" w:eastAsia="黑体"/>
          <w:b/>
          <w:bCs w:val="0"/>
          <w:color w:val="auto"/>
          <w:sz w:val="32"/>
          <w:szCs w:val="32"/>
        </w:rPr>
      </w:pPr>
    </w:p>
    <w:p w14:paraId="24BEDF79">
      <w:pPr>
        <w:spacing w:line="360" w:lineRule="auto"/>
        <w:jc w:val="center"/>
        <w:outlineLvl w:val="0"/>
        <w:rPr>
          <w:rFonts w:hint="eastAsia" w:ascii="Times New Roman" w:hAnsi="黑体" w:eastAsia="黑体"/>
          <w:b/>
          <w:bCs w:val="0"/>
          <w:color w:val="auto"/>
          <w:sz w:val="32"/>
          <w:szCs w:val="32"/>
        </w:rPr>
      </w:pPr>
    </w:p>
    <w:p w14:paraId="43090124">
      <w:pPr>
        <w:spacing w:line="360" w:lineRule="auto"/>
        <w:jc w:val="center"/>
        <w:outlineLvl w:val="0"/>
        <w:rPr>
          <w:rFonts w:hint="eastAsia" w:ascii="Times New Roman" w:hAnsi="黑体" w:eastAsia="黑体"/>
          <w:b/>
          <w:bCs w:val="0"/>
          <w:color w:val="auto"/>
          <w:sz w:val="32"/>
          <w:szCs w:val="32"/>
        </w:rPr>
      </w:pPr>
    </w:p>
    <w:p w14:paraId="3125A7DA">
      <w:pPr>
        <w:spacing w:line="360" w:lineRule="auto"/>
        <w:jc w:val="center"/>
        <w:outlineLvl w:val="0"/>
        <w:rPr>
          <w:rFonts w:hint="eastAsia" w:ascii="Times New Roman" w:hAnsi="黑体" w:eastAsia="黑体"/>
          <w:b/>
          <w:bCs w:val="0"/>
          <w:color w:val="auto"/>
          <w:sz w:val="32"/>
          <w:szCs w:val="32"/>
        </w:rPr>
      </w:pPr>
    </w:p>
    <w:p w14:paraId="07870547">
      <w:pPr>
        <w:spacing w:line="360" w:lineRule="auto"/>
        <w:jc w:val="center"/>
        <w:outlineLvl w:val="0"/>
        <w:rPr>
          <w:rFonts w:hint="eastAsia" w:ascii="Times New Roman" w:hAnsi="黑体" w:eastAsia="黑体"/>
          <w:b/>
          <w:bCs w:val="0"/>
          <w:color w:val="auto"/>
          <w:sz w:val="32"/>
          <w:szCs w:val="32"/>
        </w:rPr>
      </w:pPr>
    </w:p>
    <w:p w14:paraId="14FC5609">
      <w:pPr>
        <w:spacing w:line="360" w:lineRule="auto"/>
        <w:jc w:val="center"/>
        <w:outlineLvl w:val="0"/>
        <w:rPr>
          <w:rFonts w:hint="eastAsia" w:ascii="Times New Roman" w:hAnsi="黑体" w:eastAsia="黑体"/>
          <w:b/>
          <w:bCs w:val="0"/>
          <w:color w:val="auto"/>
          <w:sz w:val="32"/>
          <w:szCs w:val="32"/>
        </w:rPr>
      </w:pPr>
    </w:p>
    <w:p w14:paraId="7B8EDEDB">
      <w:pPr>
        <w:spacing w:line="360" w:lineRule="auto"/>
        <w:jc w:val="center"/>
        <w:outlineLvl w:val="0"/>
        <w:rPr>
          <w:rFonts w:hint="eastAsia" w:ascii="Times New Roman" w:hAnsi="黑体" w:eastAsia="黑体"/>
          <w:b/>
          <w:bCs w:val="0"/>
          <w:color w:val="auto"/>
          <w:sz w:val="32"/>
          <w:szCs w:val="32"/>
        </w:rPr>
      </w:pPr>
    </w:p>
    <w:p w14:paraId="13F96658">
      <w:pPr>
        <w:spacing w:line="360" w:lineRule="auto"/>
        <w:jc w:val="center"/>
        <w:outlineLvl w:val="0"/>
        <w:rPr>
          <w:rFonts w:hint="eastAsia" w:ascii="Times New Roman" w:hAnsi="黑体" w:eastAsia="黑体"/>
          <w:b/>
          <w:bCs w:val="0"/>
          <w:color w:val="auto"/>
          <w:sz w:val="32"/>
          <w:szCs w:val="32"/>
        </w:rPr>
      </w:pPr>
    </w:p>
    <w:p w14:paraId="1F80514D">
      <w:pPr>
        <w:spacing w:line="360" w:lineRule="auto"/>
        <w:jc w:val="center"/>
        <w:outlineLvl w:val="0"/>
        <w:rPr>
          <w:rFonts w:hint="eastAsia" w:ascii="Times New Roman" w:hAnsi="黑体" w:eastAsia="黑体"/>
          <w:b/>
          <w:bCs w:val="0"/>
          <w:color w:val="auto"/>
          <w:sz w:val="32"/>
          <w:szCs w:val="32"/>
        </w:rPr>
      </w:pPr>
    </w:p>
    <w:p w14:paraId="60469916">
      <w:pPr>
        <w:spacing w:line="360" w:lineRule="auto"/>
        <w:jc w:val="center"/>
        <w:outlineLvl w:val="0"/>
        <w:rPr>
          <w:rFonts w:hint="eastAsia" w:ascii="Times New Roman" w:hAnsi="黑体" w:eastAsia="黑体"/>
          <w:b/>
          <w:bCs w:val="0"/>
          <w:color w:val="auto"/>
          <w:sz w:val="32"/>
          <w:szCs w:val="32"/>
        </w:rPr>
      </w:pPr>
    </w:p>
    <w:p w14:paraId="2BAC7DA1">
      <w:pPr>
        <w:spacing w:line="360" w:lineRule="auto"/>
        <w:jc w:val="center"/>
        <w:outlineLvl w:val="0"/>
        <w:rPr>
          <w:rFonts w:hint="eastAsia" w:ascii="Times New Roman" w:hAnsi="黑体" w:eastAsia="黑体"/>
          <w:b/>
          <w:bCs w:val="0"/>
          <w:color w:val="auto"/>
          <w:sz w:val="32"/>
          <w:szCs w:val="32"/>
        </w:rPr>
      </w:pPr>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48"/>
      <w:bookmarkEnd w:id="49"/>
      <w:bookmarkEnd w:id="50"/>
      <w:bookmarkEnd w:id="51"/>
    </w:p>
    <w:p w14:paraId="617B7B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52" w:name="_Toc15458"/>
      <w:bookmarkStart w:id="53" w:name="_Toc17731"/>
      <w:bookmarkStart w:id="54"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52"/>
      <w:bookmarkEnd w:id="53"/>
    </w:p>
    <w:p w14:paraId="26077D0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4"/>
    </w:p>
    <w:p w14:paraId="22C1911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5" w:name="_Toc23099"/>
      <w:bookmarkStart w:id="56" w:name="_Toc14554"/>
      <w:r>
        <w:rPr>
          <w:rFonts w:hint="eastAsia" w:ascii="楷体" w:hAnsi="楷体" w:eastAsia="楷体" w:cs="楷体"/>
          <w:b/>
          <w:bCs w:val="0"/>
          <w:color w:val="auto"/>
          <w:sz w:val="32"/>
          <w:szCs w:val="32"/>
          <w:lang w:val="en-US" w:eastAsia="zh-CN"/>
        </w:rPr>
        <w:t>2.定义</w:t>
      </w:r>
      <w:bookmarkEnd w:id="55"/>
      <w:bookmarkEnd w:id="56"/>
    </w:p>
    <w:p w14:paraId="1438B9D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eastAsia" w:ascii="仿宋_GB2312" w:hAnsi="仿宋_GB2312" w:eastAsia="仿宋_GB2312" w:cs="仿宋_GB2312"/>
          <w:color w:val="auto"/>
          <w:sz w:val="32"/>
          <w:szCs w:val="32"/>
          <w:u w:val="single"/>
          <w:lang w:val="en-US" w:eastAsia="zh-CN"/>
        </w:rPr>
        <w:t xml:space="preserve">  赣州缦廷酒店有限公司  </w:t>
      </w:r>
    </w:p>
    <w:p w14:paraId="60BE5B2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14:paraId="68A952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7" w:name="_Toc32497"/>
      <w:bookmarkStart w:id="58" w:name="_Toc19070"/>
      <w:r>
        <w:rPr>
          <w:rFonts w:hint="eastAsia" w:ascii="楷体" w:hAnsi="楷体" w:eastAsia="楷体" w:cs="楷体"/>
          <w:b/>
          <w:bCs w:val="0"/>
          <w:color w:val="auto"/>
          <w:sz w:val="32"/>
          <w:szCs w:val="32"/>
          <w:lang w:val="en-US" w:eastAsia="zh-CN"/>
        </w:rPr>
        <w:t>3.响应文件的构成</w:t>
      </w:r>
      <w:bookmarkEnd w:id="57"/>
      <w:bookmarkEnd w:id="58"/>
    </w:p>
    <w:p w14:paraId="0A777CD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9" w:name="_Toc4003"/>
      <w:r>
        <w:rPr>
          <w:rFonts w:hint="eastAsia" w:ascii="仿宋_GB2312" w:hAnsi="仿宋_GB2312" w:eastAsia="仿宋_GB2312" w:cs="仿宋_GB2312"/>
          <w:color w:val="auto"/>
          <w:sz w:val="32"/>
          <w:szCs w:val="32"/>
        </w:rPr>
        <w:t>3.1提供法定代表人授权书；</w:t>
      </w:r>
      <w:bookmarkEnd w:id="59"/>
    </w:p>
    <w:p w14:paraId="039F16A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0" w:name="_Toc29314"/>
      <w:r>
        <w:rPr>
          <w:rFonts w:hint="eastAsia" w:ascii="仿宋_GB2312" w:hAnsi="仿宋_GB2312" w:eastAsia="仿宋_GB2312" w:cs="仿宋_GB2312"/>
          <w:color w:val="auto"/>
          <w:sz w:val="32"/>
          <w:szCs w:val="32"/>
        </w:rPr>
        <w:t>3.2提供营业执照；</w:t>
      </w:r>
      <w:bookmarkEnd w:id="60"/>
    </w:p>
    <w:p w14:paraId="3ED0FFA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1" w:name="_Toc3486"/>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资质</w:t>
      </w:r>
      <w:r>
        <w:rPr>
          <w:rFonts w:hint="eastAsia"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rPr>
        <w:t>；</w:t>
      </w:r>
      <w:bookmarkEnd w:id="61"/>
    </w:p>
    <w:p w14:paraId="44C94A9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3.4拟派人员资格证明；</w:t>
      </w:r>
    </w:p>
    <w:p w14:paraId="2F284C6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2" w:name="_Toc12753"/>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w:t>
      </w:r>
      <w:bookmarkEnd w:id="62"/>
      <w:bookmarkStart w:id="63" w:name="_Toc25235"/>
      <w:r>
        <w:rPr>
          <w:rFonts w:hint="eastAsia" w:ascii="仿宋_GB2312" w:hAnsi="仿宋_GB2312" w:eastAsia="仿宋_GB2312" w:cs="仿宋_GB2312"/>
          <w:color w:val="auto"/>
          <w:sz w:val="32"/>
          <w:szCs w:val="32"/>
        </w:rPr>
        <w:t>报价</w:t>
      </w:r>
      <w:r>
        <w:rPr>
          <w:rFonts w:hint="eastAsia" w:ascii="仿宋_GB2312" w:hAnsi="仿宋_GB2312" w:eastAsia="仿宋_GB2312" w:cs="仿宋_GB2312"/>
          <w:color w:val="auto"/>
          <w:sz w:val="32"/>
          <w:szCs w:val="32"/>
          <w:lang w:val="en-US" w:eastAsia="zh-CN"/>
        </w:rPr>
        <w:t>表</w:t>
      </w:r>
      <w:r>
        <w:rPr>
          <w:rFonts w:hint="eastAsia" w:ascii="仿宋_GB2312" w:hAnsi="仿宋_GB2312" w:eastAsia="仿宋_GB2312" w:cs="仿宋_GB2312"/>
          <w:color w:val="auto"/>
          <w:sz w:val="32"/>
          <w:szCs w:val="32"/>
        </w:rPr>
        <w:t>；</w:t>
      </w:r>
      <w:bookmarkEnd w:id="63"/>
    </w:p>
    <w:p w14:paraId="4E72599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15977"/>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其它相关资料。</w:t>
      </w:r>
      <w:bookmarkEnd w:id="64"/>
    </w:p>
    <w:p w14:paraId="466B7D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5" w:name="_Toc9532"/>
      <w:bookmarkStart w:id="66" w:name="_Toc8898"/>
      <w:r>
        <w:rPr>
          <w:rFonts w:hint="eastAsia" w:ascii="楷体" w:hAnsi="楷体" w:eastAsia="楷体" w:cs="楷体"/>
          <w:b/>
          <w:bCs w:val="0"/>
          <w:color w:val="auto"/>
          <w:sz w:val="32"/>
          <w:szCs w:val="32"/>
          <w:lang w:val="en-US" w:eastAsia="zh-CN"/>
        </w:rPr>
        <w:t>4.询价文件澄清</w:t>
      </w:r>
      <w:bookmarkEnd w:id="65"/>
      <w:bookmarkEnd w:id="66"/>
    </w:p>
    <w:p w14:paraId="13BE151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提交响应文件截止之日前，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澄清或者修改的内容</w:t>
      </w:r>
      <w:r>
        <w:rPr>
          <w:rFonts w:hint="eastAsia" w:ascii="仿宋_GB2312" w:hAnsi="仿宋_GB2312" w:eastAsia="仿宋_GB2312" w:cs="仿宋_GB2312"/>
          <w:color w:val="auto"/>
          <w:sz w:val="32"/>
          <w:szCs w:val="32"/>
          <w:lang w:val="en-US" w:eastAsia="zh-CN"/>
        </w:rPr>
        <w:t>将同步在网站上进行公告</w:t>
      </w:r>
      <w:r>
        <w:rPr>
          <w:rFonts w:hint="eastAsia" w:ascii="仿宋_GB2312" w:hAnsi="仿宋_GB2312" w:eastAsia="仿宋_GB2312" w:cs="仿宋_GB2312"/>
          <w:color w:val="auto"/>
          <w:sz w:val="32"/>
          <w:szCs w:val="32"/>
        </w:rPr>
        <w:t>。</w:t>
      </w:r>
    </w:p>
    <w:p w14:paraId="391279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7" w:name="_Toc2817"/>
      <w:bookmarkStart w:id="68" w:name="_Toc14236"/>
      <w:bookmarkStart w:id="69" w:name="_Toc18159"/>
      <w:r>
        <w:rPr>
          <w:rFonts w:hint="eastAsia" w:ascii="楷体" w:hAnsi="楷体" w:eastAsia="楷体" w:cs="楷体"/>
          <w:b/>
          <w:bCs w:val="0"/>
          <w:color w:val="auto"/>
          <w:sz w:val="32"/>
          <w:szCs w:val="32"/>
          <w:lang w:val="en-US" w:eastAsia="zh-CN"/>
        </w:rPr>
        <w:t>5.响应文件的递交</w:t>
      </w:r>
      <w:bookmarkEnd w:id="67"/>
      <w:bookmarkEnd w:id="68"/>
    </w:p>
    <w:p w14:paraId="2887419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截止时间前，将响应文件密封送达指定地点，在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截止时间后送达的响应文件为无效文件，</w:t>
      </w:r>
      <w:r>
        <w:rPr>
          <w:rFonts w:hint="eastAsia" w:ascii="仿宋_GB2312" w:hAnsi="仿宋_GB2312" w:eastAsia="仿宋_GB2312" w:cs="仿宋_GB2312"/>
          <w:color w:val="auto"/>
          <w:sz w:val="32"/>
          <w:szCs w:val="32"/>
          <w:lang w:eastAsia="zh-CN"/>
        </w:rPr>
        <w:t>采购人</w:t>
      </w:r>
      <w:r>
        <w:rPr>
          <w:rFonts w:hint="eastAsia" w:ascii="仿宋_GB2312" w:hAnsi="仿宋_GB2312" w:eastAsia="仿宋_GB2312" w:cs="仿宋_GB2312"/>
          <w:color w:val="auto"/>
          <w:sz w:val="32"/>
          <w:szCs w:val="32"/>
        </w:rPr>
        <w:t>应当拒收。</w:t>
      </w:r>
    </w:p>
    <w:p w14:paraId="78BBB48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14:paraId="7480A6D8">
      <w:pPr>
        <w:pStyle w:val="9"/>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14:paraId="3361FF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0" w:name="_Toc30046"/>
      <w:bookmarkStart w:id="71" w:name="_Toc26912"/>
      <w:r>
        <w:rPr>
          <w:rFonts w:hint="eastAsia" w:ascii="楷体" w:hAnsi="楷体" w:eastAsia="楷体" w:cs="楷体"/>
          <w:b/>
          <w:bCs w:val="0"/>
          <w:color w:val="auto"/>
          <w:sz w:val="32"/>
          <w:szCs w:val="32"/>
          <w:lang w:val="en-US" w:eastAsia="zh-CN"/>
        </w:rPr>
        <w:t>6.开标仪式</w:t>
      </w:r>
      <w:bookmarkEnd w:id="70"/>
      <w:bookmarkEnd w:id="71"/>
    </w:p>
    <w:p w14:paraId="50DF212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69"/>
      <w:r>
        <w:rPr>
          <w:rFonts w:hint="eastAsia" w:ascii="仿宋_GB2312" w:hAnsi="仿宋_GB2312" w:eastAsia="仿宋_GB2312" w:cs="仿宋_GB2312"/>
          <w:color w:val="auto"/>
          <w:sz w:val="32"/>
          <w:szCs w:val="32"/>
          <w:lang w:val="en-US" w:eastAsia="zh-CN"/>
        </w:rPr>
        <w:t>。</w:t>
      </w:r>
    </w:p>
    <w:p w14:paraId="38AF567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2" w:name="_Toc26969"/>
      <w:bookmarkStart w:id="73" w:name="_Toc12905"/>
      <w:r>
        <w:rPr>
          <w:rFonts w:hint="eastAsia" w:ascii="楷体" w:hAnsi="楷体" w:eastAsia="楷体" w:cs="楷体"/>
          <w:b/>
          <w:bCs w:val="0"/>
          <w:color w:val="auto"/>
          <w:sz w:val="32"/>
          <w:szCs w:val="32"/>
          <w:lang w:val="en-US" w:eastAsia="zh-CN"/>
        </w:rPr>
        <w:t>7.成立评审小组</w:t>
      </w:r>
      <w:bookmarkEnd w:id="72"/>
      <w:bookmarkEnd w:id="73"/>
    </w:p>
    <w:p w14:paraId="1F92035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4"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74"/>
    </w:p>
    <w:p w14:paraId="3F4E5F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5" w:name="_Toc5783"/>
      <w:bookmarkStart w:id="76" w:name="_Toc32336"/>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5"/>
      <w:bookmarkEnd w:id="76"/>
    </w:p>
    <w:p w14:paraId="5114F08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14:paraId="1F332FB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14:paraId="64DE71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7" w:name="_Toc17075"/>
      <w:bookmarkStart w:id="78" w:name="_Toc10511"/>
      <w:r>
        <w:rPr>
          <w:rFonts w:hint="eastAsia" w:ascii="楷体" w:hAnsi="楷体" w:eastAsia="楷体" w:cs="楷体"/>
          <w:b/>
          <w:bCs w:val="0"/>
          <w:color w:val="auto"/>
          <w:sz w:val="32"/>
          <w:szCs w:val="32"/>
          <w:lang w:val="en-US" w:eastAsia="zh-CN"/>
        </w:rPr>
        <w:t>9.错误修正</w:t>
      </w:r>
      <w:bookmarkEnd w:id="77"/>
      <w:bookmarkEnd w:id="78"/>
    </w:p>
    <w:p w14:paraId="109E5233">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14:paraId="20A1EF2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14:paraId="1864FD3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14:paraId="0485D73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14:paraId="047E16F2">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14:paraId="742AA0F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79" w:name="_Toc24360"/>
      <w:bookmarkStart w:id="80" w:name="_Toc16850"/>
      <w:r>
        <w:rPr>
          <w:rFonts w:hint="eastAsia" w:ascii="楷体" w:hAnsi="楷体" w:eastAsia="楷体" w:cs="楷体"/>
          <w:b/>
          <w:bCs w:val="0"/>
          <w:color w:val="auto"/>
          <w:sz w:val="32"/>
          <w:szCs w:val="32"/>
          <w:lang w:val="en-US" w:eastAsia="zh-CN"/>
        </w:rPr>
        <w:t>10.询价</w:t>
      </w:r>
      <w:bookmarkEnd w:id="79"/>
      <w:bookmarkEnd w:id="80"/>
    </w:p>
    <w:p w14:paraId="693C0591">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最低价格法</w:t>
      </w:r>
      <w:r>
        <w:rPr>
          <w:rFonts w:hint="eastAsia" w:ascii="仿宋" w:hAnsi="仿宋" w:eastAsia="仿宋" w:cs="仿宋"/>
          <w:color w:val="auto"/>
          <w:kern w:val="0"/>
          <w:sz w:val="32"/>
          <w:szCs w:val="32"/>
          <w:u w:val="single"/>
          <w:lang w:eastAsia="zh-CN"/>
        </w:rPr>
        <w:t>（</w:t>
      </w:r>
      <w:r>
        <w:rPr>
          <w:rFonts w:hint="eastAsia" w:ascii="仿宋" w:hAnsi="仿宋" w:eastAsia="仿宋" w:cs="仿宋"/>
          <w:color w:val="auto"/>
          <w:kern w:val="0"/>
          <w:sz w:val="32"/>
          <w:szCs w:val="32"/>
          <w:u w:val="single"/>
          <w:lang w:val="en-US" w:eastAsia="zh-CN"/>
        </w:rPr>
        <w:t>不含税报价</w:t>
      </w:r>
      <w:r>
        <w:rPr>
          <w:rFonts w:hint="eastAsia" w:ascii="仿宋" w:hAnsi="仿宋" w:eastAsia="仿宋" w:cs="仿宋"/>
          <w:color w:val="auto"/>
          <w:kern w:val="0"/>
          <w:sz w:val="32"/>
          <w:szCs w:val="32"/>
          <w:u w:val="single"/>
          <w:lang w:val="en-US" w:eastAsia="zh-Hans"/>
        </w:rPr>
        <w:t>最低者中</w:t>
      </w:r>
      <w:r>
        <w:rPr>
          <w:rFonts w:hint="eastAsia" w:ascii="仿宋" w:hAnsi="仿宋" w:eastAsia="仿宋" w:cs="仿宋"/>
          <w:color w:val="auto"/>
          <w:kern w:val="0"/>
          <w:sz w:val="32"/>
          <w:szCs w:val="32"/>
          <w:u w:val="single"/>
          <w:lang w:val="en-US" w:eastAsia="zh-CN"/>
        </w:rPr>
        <w:t>选</w:t>
      </w:r>
      <w:r>
        <w:rPr>
          <w:rFonts w:hint="eastAsia" w:ascii="仿宋" w:hAnsi="仿宋" w:eastAsia="仿宋" w:cs="仿宋"/>
          <w:color w:val="auto"/>
          <w:kern w:val="0"/>
          <w:sz w:val="32"/>
          <w:szCs w:val="32"/>
          <w:u w:val="single"/>
          <w:lang w:eastAsia="zh-Hans"/>
        </w:rPr>
        <w:t>）</w:t>
      </w:r>
      <w:r>
        <w:rPr>
          <w:rFonts w:hint="eastAsia" w:ascii="仿宋_GB2312" w:hAnsi="仿宋_GB2312" w:eastAsia="仿宋_GB2312" w:cs="仿宋_GB2312"/>
          <w:color w:val="auto"/>
          <w:sz w:val="32"/>
          <w:szCs w:val="32"/>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lang w:val="en-US" w:eastAsia="zh-CN"/>
        </w:rPr>
        <w:t>不含税</w:t>
      </w:r>
      <w:r>
        <w:rPr>
          <w:rFonts w:hint="eastAsia" w:ascii="仿宋_GB2312" w:hAnsi="仿宋_GB2312" w:eastAsia="仿宋_GB2312" w:cs="仿宋_GB2312"/>
          <w:color w:val="auto"/>
          <w:sz w:val="32"/>
          <w:szCs w:val="32"/>
        </w:rPr>
        <w:t>报价由低到高的顺序推荐3名成交候选供应商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并推荐排名第一的为成交供应商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最低不含税</w:t>
      </w:r>
      <w:r>
        <w:rPr>
          <w:rFonts w:hint="eastAsia" w:ascii="仿宋_GB2312" w:hAnsi="仿宋_GB2312" w:eastAsia="仿宋_GB2312" w:cs="仿宋_GB2312"/>
          <w:color w:val="auto"/>
          <w:sz w:val="32"/>
          <w:szCs w:val="32"/>
        </w:rPr>
        <w:t>报价相同的，按照</w:t>
      </w:r>
      <w:r>
        <w:rPr>
          <w:rFonts w:hint="eastAsia" w:ascii="仿宋_GB2312" w:hAnsi="仿宋_GB2312" w:eastAsia="仿宋_GB2312" w:cs="仿宋_GB2312"/>
          <w:color w:val="auto"/>
          <w:sz w:val="32"/>
          <w:szCs w:val="32"/>
          <w:lang w:val="en-US" w:eastAsia="zh-CN"/>
        </w:rPr>
        <w:t>现场随机抽取方式</w:t>
      </w:r>
      <w:r>
        <w:rPr>
          <w:rFonts w:hint="eastAsia" w:ascii="仿宋_GB2312" w:hAnsi="仿宋_GB2312" w:eastAsia="仿宋_GB2312" w:cs="仿宋_GB2312"/>
          <w:color w:val="auto"/>
          <w:sz w:val="32"/>
          <w:szCs w:val="32"/>
        </w:rPr>
        <w:t>推荐</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w:t>
      </w:r>
      <w:r>
        <w:rPr>
          <w:rFonts w:hint="default" w:ascii="仿宋_GB2312" w:hAnsi="Calibri" w:eastAsia="仿宋_GB2312" w:cs="仿宋_GB2312"/>
          <w:kern w:val="2"/>
          <w:sz w:val="32"/>
          <w:szCs w:val="32"/>
          <w:lang w:val="en-US" w:eastAsia="zh-CN" w:bidi="ar"/>
        </w:rPr>
        <w:t>不含税报价=含税报价÷（1+税率）</w:t>
      </w:r>
    </w:p>
    <w:p w14:paraId="4E70726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1" w:name="_Toc12958"/>
      <w:bookmarkStart w:id="82" w:name="_Toc8054"/>
      <w:r>
        <w:rPr>
          <w:rFonts w:hint="eastAsia" w:ascii="楷体" w:hAnsi="楷体" w:eastAsia="楷体" w:cs="楷体"/>
          <w:b/>
          <w:bCs w:val="0"/>
          <w:color w:val="auto"/>
          <w:sz w:val="32"/>
          <w:szCs w:val="32"/>
          <w:lang w:val="en-US" w:eastAsia="zh-CN"/>
        </w:rPr>
        <w:t>11.评审结果</w:t>
      </w:r>
      <w:bookmarkEnd w:id="81"/>
      <w:bookmarkEnd w:id="82"/>
    </w:p>
    <w:p w14:paraId="2C18558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14:paraId="1700D9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3" w:name="_Toc1393"/>
      <w:bookmarkStart w:id="84" w:name="_Toc19625"/>
      <w:r>
        <w:rPr>
          <w:rFonts w:hint="eastAsia" w:ascii="楷体" w:hAnsi="楷体" w:eastAsia="楷体" w:cs="楷体"/>
          <w:b/>
          <w:bCs w:val="0"/>
          <w:color w:val="auto"/>
          <w:sz w:val="32"/>
          <w:szCs w:val="32"/>
          <w:lang w:val="en-US" w:eastAsia="zh-CN"/>
        </w:rPr>
        <w:t>12.确定供应商</w:t>
      </w:r>
      <w:bookmarkEnd w:id="83"/>
      <w:bookmarkEnd w:id="84"/>
    </w:p>
    <w:p w14:paraId="186809C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14:paraId="043A7C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5" w:name="_Toc12989"/>
      <w:bookmarkStart w:id="86" w:name="_Toc21621"/>
      <w:r>
        <w:rPr>
          <w:rFonts w:hint="eastAsia" w:ascii="楷体" w:hAnsi="楷体" w:eastAsia="楷体" w:cs="楷体"/>
          <w:b/>
          <w:bCs w:val="0"/>
          <w:color w:val="auto"/>
          <w:sz w:val="32"/>
          <w:szCs w:val="32"/>
          <w:lang w:val="en-US" w:eastAsia="zh-CN"/>
        </w:rPr>
        <w:t>13.发出成交通知书</w:t>
      </w:r>
      <w:bookmarkEnd w:id="85"/>
      <w:bookmarkEnd w:id="86"/>
    </w:p>
    <w:p w14:paraId="2B88ED3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14:paraId="6C094BD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7" w:name="_Toc16820"/>
      <w:bookmarkStart w:id="88" w:name="_Toc14674"/>
      <w:r>
        <w:rPr>
          <w:rFonts w:hint="eastAsia" w:ascii="楷体" w:hAnsi="楷体" w:eastAsia="楷体" w:cs="楷体"/>
          <w:b/>
          <w:bCs w:val="0"/>
          <w:color w:val="auto"/>
          <w:sz w:val="32"/>
          <w:szCs w:val="32"/>
          <w:lang w:val="en-US" w:eastAsia="zh-CN"/>
        </w:rPr>
        <w:t>14.签订合同</w:t>
      </w:r>
      <w:bookmarkEnd w:id="87"/>
      <w:bookmarkEnd w:id="88"/>
    </w:p>
    <w:p w14:paraId="2893C55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14:paraId="39A6708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14:paraId="0B10F9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9" w:name="_Toc6333"/>
      <w:bookmarkStart w:id="90" w:name="_Toc13722"/>
      <w:r>
        <w:rPr>
          <w:rFonts w:hint="eastAsia" w:ascii="楷体" w:hAnsi="楷体" w:eastAsia="楷体" w:cs="楷体"/>
          <w:b/>
          <w:bCs w:val="0"/>
          <w:color w:val="auto"/>
          <w:sz w:val="32"/>
          <w:szCs w:val="32"/>
          <w:lang w:val="en-US" w:eastAsia="zh-CN"/>
        </w:rPr>
        <w:t>15.终止询价采购</w:t>
      </w:r>
      <w:bookmarkEnd w:id="89"/>
      <w:bookmarkEnd w:id="90"/>
    </w:p>
    <w:p w14:paraId="00F309F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14:paraId="117BC93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14:paraId="66703F3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14:paraId="03BF77E3">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14:paraId="471BF730">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14:paraId="1DD7362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14:paraId="543BEB9A">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3AAEF2CA">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14:paraId="63D56D9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324372C2">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14:paraId="76DC175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14:paraId="20335F9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14:paraId="700829E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14:paraId="74DE490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14:paraId="7F2A429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文件规定的格式填写的</w:t>
      </w:r>
      <w:r>
        <w:rPr>
          <w:rFonts w:hint="eastAsia" w:ascii="仿宋_GB2312" w:hAnsi="仿宋_GB2312" w:eastAsia="仿宋_GB2312" w:cs="仿宋_GB2312"/>
          <w:color w:val="auto"/>
          <w:sz w:val="32"/>
          <w:szCs w:val="32"/>
          <w:lang w:eastAsia="zh-CN"/>
        </w:rPr>
        <w:t>；</w:t>
      </w:r>
    </w:p>
    <w:p w14:paraId="328ED79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14:paraId="71F42E2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14:paraId="3F8237D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14:paraId="0B93BDE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14:paraId="4813DF4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14:paraId="5EABA50A">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351A19BE">
      <w:pPr>
        <w:spacing w:line="360" w:lineRule="auto"/>
        <w:jc w:val="center"/>
        <w:outlineLvl w:val="0"/>
        <w:rPr>
          <w:rFonts w:hint="eastAsia" w:ascii="仿宋_GB2312" w:hAnsi="仿宋_GB2312" w:eastAsia="仿宋_GB2312" w:cs="仿宋_GB2312"/>
          <w:color w:val="auto"/>
          <w:sz w:val="32"/>
          <w:szCs w:val="32"/>
        </w:rPr>
      </w:pPr>
      <w:bookmarkStart w:id="91" w:name="_Toc28994"/>
      <w:bookmarkStart w:id="92" w:name="_Toc7770"/>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91"/>
      <w:bookmarkEnd w:id="92"/>
    </w:p>
    <w:p w14:paraId="1669D730">
      <w:pPr>
        <w:pStyle w:val="9"/>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93" w:name="_Toc24837"/>
      <w:bookmarkStart w:id="94" w:name="_Toc25151"/>
      <w:r>
        <w:rPr>
          <w:rFonts w:hint="eastAsia" w:ascii="楷体" w:hAnsi="楷体" w:eastAsia="楷体" w:cs="楷体"/>
          <w:b/>
          <w:bCs/>
          <w:color w:val="auto"/>
          <w:sz w:val="32"/>
          <w:szCs w:val="32"/>
          <w:lang w:val="en-US" w:eastAsia="zh-CN"/>
        </w:rPr>
        <w:t>一、商务要求</w:t>
      </w:r>
      <w:bookmarkEnd w:id="93"/>
      <w:bookmarkEnd w:id="94"/>
    </w:p>
    <w:tbl>
      <w:tblPr>
        <w:tblStyle w:val="10"/>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01"/>
        <w:gridCol w:w="1312"/>
        <w:gridCol w:w="6453"/>
      </w:tblGrid>
      <w:tr w14:paraId="524C9029">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59"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0E44047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784"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56FFE59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3856"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14:paraId="4BCC7B6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14:paraId="7FE12CA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F1EE1B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F5D889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193DCF52">
            <w:pPr>
              <w:keepNext w:val="0"/>
              <w:keepLines w:val="0"/>
              <w:pageBreakBefore w:val="0"/>
              <w:widowControl w:val="0"/>
              <w:kinsoku/>
              <w:wordWrap/>
              <w:overflowPunct/>
              <w:topLinePunct w:val="0"/>
              <w:autoSpaceDE/>
              <w:autoSpaceDN/>
              <w:bidi w:val="0"/>
              <w:adjustRightInd/>
              <w:spacing w:line="520" w:lineRule="exact"/>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color w:val="auto"/>
                <w:sz w:val="24"/>
                <w:szCs w:val="24"/>
                <w:u w:val="none"/>
              </w:rPr>
              <w:t>江西省</w:t>
            </w:r>
            <w:r>
              <w:rPr>
                <w:rFonts w:hint="eastAsia" w:ascii="宋体" w:hAnsi="宋体" w:eastAsia="宋体" w:cs="宋体"/>
                <w:color w:val="auto"/>
                <w:sz w:val="24"/>
                <w:szCs w:val="24"/>
                <w:u w:val="none"/>
                <w:lang w:val="en-US" w:eastAsia="zh-CN"/>
              </w:rPr>
              <w:t>赣州</w:t>
            </w:r>
            <w:r>
              <w:rPr>
                <w:rFonts w:hint="eastAsia" w:ascii="宋体" w:hAnsi="宋体" w:eastAsia="宋体" w:cs="宋体"/>
                <w:color w:val="auto"/>
                <w:sz w:val="24"/>
                <w:szCs w:val="24"/>
                <w:u w:val="none"/>
              </w:rPr>
              <w:t>市</w:t>
            </w:r>
            <w:r>
              <w:rPr>
                <w:rFonts w:hint="eastAsia" w:ascii="宋体" w:hAnsi="宋体" w:eastAsia="宋体" w:cs="宋体"/>
                <w:color w:val="auto"/>
                <w:sz w:val="24"/>
                <w:szCs w:val="24"/>
                <w:u w:val="none"/>
                <w:lang w:val="en-US" w:eastAsia="zh-CN"/>
              </w:rPr>
              <w:t>章贡区兴国路12号缦廷酒店</w:t>
            </w:r>
          </w:p>
        </w:tc>
      </w:tr>
      <w:tr w14:paraId="01BA8EB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CC41F4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14DBD1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48818E7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 xml:space="preserve">  </w:t>
            </w:r>
            <w:r>
              <w:rPr>
                <w:rFonts w:hint="default" w:asciiTheme="minorEastAsia" w:hAnsiTheme="minorEastAsia" w:cstheme="minorEastAsia"/>
                <w:color w:val="auto"/>
                <w:sz w:val="24"/>
                <w:szCs w:val="24"/>
                <w:lang w:eastAsia="zh-CN"/>
              </w:rPr>
              <w:t>15</w:t>
            </w:r>
            <w:r>
              <w:rPr>
                <w:rFonts w:hint="eastAsia" w:asciiTheme="minorEastAsia" w:hAnsiTheme="minorEastAsia" w:cstheme="minorEastAsia"/>
                <w:color w:val="auto"/>
                <w:sz w:val="24"/>
                <w:szCs w:val="24"/>
                <w:lang w:val="en-US" w:eastAsia="zh-CN"/>
              </w:rPr>
              <w:t>天</w:t>
            </w:r>
          </w:p>
        </w:tc>
      </w:tr>
      <w:tr w14:paraId="630F5A9E">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B2A8A5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89F596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F9D8338">
            <w:pPr>
              <w:pStyle w:val="14"/>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val="0"/>
                <w:bCs w:val="0"/>
                <w:color w:val="auto"/>
                <w:sz w:val="24"/>
                <w:szCs w:val="24"/>
              </w:rPr>
              <w:t>根据甲方提供的原大堂雨棚拆除工程量清单、装饰工程量、安装工程量，并结合现场踏勘情况，开展现场的雨棚拆除及重新装修工作，雨棚拆除、重新装修、清理、外运期间须确保现场的安全文明施工。</w:t>
            </w:r>
          </w:p>
        </w:tc>
      </w:tr>
      <w:tr w14:paraId="71A01D8E">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0C7453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4</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C56AEE0">
            <w:pPr>
              <w:spacing w:line="480" w:lineRule="exact"/>
              <w:jc w:val="center"/>
              <w:rPr>
                <w:rFonts w:hint="eastAsia" w:ascii="宋体" w:hAnsi="宋体" w:eastAsia="宋体" w:cs="宋体"/>
                <w:bCs/>
                <w:sz w:val="24"/>
                <w:szCs w:val="24"/>
              </w:rPr>
            </w:pPr>
            <w:r>
              <w:rPr>
                <w:rFonts w:hint="eastAsia" w:ascii="宋体" w:hAnsi="宋体" w:eastAsia="宋体" w:cs="宋体"/>
                <w:bCs/>
                <w:sz w:val="24"/>
                <w:szCs w:val="24"/>
              </w:rPr>
              <w:t>计价及</w:t>
            </w:r>
          </w:p>
          <w:p w14:paraId="756F1F0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val="0"/>
                <w:bCs/>
                <w:color w:val="auto"/>
                <w:sz w:val="24"/>
                <w:szCs w:val="24"/>
              </w:rPr>
            </w:pPr>
            <w:r>
              <w:rPr>
                <w:rFonts w:hint="eastAsia" w:ascii="宋体" w:hAnsi="宋体" w:eastAsia="宋体" w:cs="宋体"/>
                <w:bCs/>
                <w:sz w:val="24"/>
                <w:szCs w:val="24"/>
              </w:rPr>
              <w:t>结算方式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6E56249">
            <w:pPr>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312" w:lineRule="auto"/>
              <w:ind w:left="0" w:right="0"/>
              <w:jc w:val="both"/>
              <w:textAlignment w:val="auto"/>
              <w:rPr>
                <w:rFonts w:hint="eastAsia" w:asciiTheme="minorEastAsia" w:hAnsiTheme="minorEastAsia" w:cstheme="minorEastAsia"/>
                <w:b w:val="0"/>
                <w:bCs w:val="0"/>
                <w:color w:val="auto"/>
                <w:sz w:val="24"/>
                <w:szCs w:val="24"/>
                <w:lang w:eastAsia="zh-CN"/>
              </w:rPr>
            </w:pPr>
            <w:r>
              <w:rPr>
                <w:rFonts w:hint="eastAsia" w:asciiTheme="minorEastAsia" w:hAnsiTheme="minorEastAsia" w:eastAsiaTheme="minorEastAsia" w:cstheme="minorEastAsia"/>
                <w:b w:val="0"/>
                <w:bCs w:val="0"/>
                <w:color w:val="auto"/>
                <w:sz w:val="24"/>
                <w:szCs w:val="24"/>
              </w:rPr>
              <w:t>本项目采用总价包干的计价方式，工程量由</w:t>
            </w:r>
            <w:r>
              <w:rPr>
                <w:rFonts w:hint="default" w:asciiTheme="minorEastAsia" w:hAnsiTheme="minorEastAsia" w:cstheme="minorEastAsia"/>
                <w:b w:val="0"/>
                <w:bCs w:val="0"/>
                <w:color w:val="auto"/>
                <w:sz w:val="24"/>
                <w:szCs w:val="24"/>
              </w:rPr>
              <w:t>响应</w:t>
            </w:r>
            <w:r>
              <w:rPr>
                <w:rFonts w:hint="eastAsia" w:asciiTheme="minorEastAsia" w:hAnsiTheme="minorEastAsia" w:eastAsiaTheme="minorEastAsia" w:cstheme="minorEastAsia"/>
                <w:b w:val="0"/>
                <w:bCs w:val="0"/>
                <w:color w:val="auto"/>
                <w:sz w:val="24"/>
                <w:szCs w:val="24"/>
              </w:rPr>
              <w:t>人根据预算工程量清单及现场踏勘情况综合考虑，</w:t>
            </w:r>
            <w:r>
              <w:rPr>
                <w:rFonts w:hint="default" w:asciiTheme="minorEastAsia" w:hAnsiTheme="minorEastAsia" w:cstheme="minorEastAsia"/>
                <w:b w:val="0"/>
                <w:bCs w:val="0"/>
                <w:color w:val="auto"/>
                <w:sz w:val="24"/>
                <w:szCs w:val="24"/>
              </w:rPr>
              <w:t>响应</w:t>
            </w:r>
            <w:r>
              <w:rPr>
                <w:rFonts w:hint="eastAsia" w:asciiTheme="minorEastAsia" w:hAnsiTheme="minorEastAsia" w:eastAsiaTheme="minorEastAsia" w:cstheme="minorEastAsia"/>
                <w:b w:val="0"/>
                <w:bCs w:val="0"/>
                <w:color w:val="auto"/>
                <w:sz w:val="24"/>
                <w:szCs w:val="24"/>
              </w:rPr>
              <w:t>报价为一次性包干总价，且除另有约定外不以其他任何因素变化而作调整；</w:t>
            </w:r>
            <w:r>
              <w:rPr>
                <w:rFonts w:hint="default" w:asciiTheme="minorEastAsia" w:hAnsiTheme="minorEastAsia" w:cstheme="minorEastAsia"/>
                <w:b w:val="0"/>
                <w:bCs w:val="0"/>
                <w:color w:val="auto"/>
                <w:sz w:val="24"/>
                <w:szCs w:val="24"/>
              </w:rPr>
              <w:t>响应</w:t>
            </w:r>
            <w:r>
              <w:rPr>
                <w:rFonts w:hint="eastAsia" w:asciiTheme="minorEastAsia" w:hAnsiTheme="minorEastAsia" w:eastAsiaTheme="minorEastAsia" w:cstheme="minorEastAsia"/>
                <w:b w:val="0"/>
                <w:bCs w:val="0"/>
                <w:color w:val="auto"/>
                <w:sz w:val="24"/>
                <w:szCs w:val="24"/>
              </w:rPr>
              <w:t>报价金额包括但不限于项目实施过程中的人工费用、机械设备费用、物资材料或成品费用、保险费用、税费、竣工验收等与本项施工相关的一切费用，措施费、规费、税金等其他费用均包含在本次</w:t>
            </w:r>
            <w:r>
              <w:rPr>
                <w:rFonts w:hint="default" w:asciiTheme="minorEastAsia" w:hAnsiTheme="minorEastAsia" w:cstheme="minorEastAsia"/>
                <w:b w:val="0"/>
                <w:bCs w:val="0"/>
                <w:color w:val="auto"/>
                <w:sz w:val="24"/>
                <w:szCs w:val="24"/>
              </w:rPr>
              <w:t>响应</w:t>
            </w:r>
            <w:r>
              <w:rPr>
                <w:rFonts w:hint="eastAsia" w:asciiTheme="minorEastAsia" w:hAnsiTheme="minorEastAsia" w:eastAsiaTheme="minorEastAsia" w:cstheme="minorEastAsia"/>
                <w:b w:val="0"/>
                <w:bCs w:val="0"/>
                <w:color w:val="auto"/>
                <w:sz w:val="24"/>
                <w:szCs w:val="24"/>
              </w:rPr>
              <w:t>报价中</w:t>
            </w:r>
            <w:r>
              <w:rPr>
                <w:rFonts w:hint="default" w:asciiTheme="minorEastAsia" w:hAnsiTheme="minorEastAsia" w:cstheme="minorEastAsia"/>
                <w:b w:val="0"/>
                <w:bCs w:val="0"/>
                <w:color w:val="auto"/>
                <w:sz w:val="24"/>
                <w:szCs w:val="24"/>
              </w:rPr>
              <w:t>，</w:t>
            </w:r>
            <w:r>
              <w:rPr>
                <w:rFonts w:hint="eastAsia" w:asciiTheme="minorEastAsia" w:hAnsiTheme="minorEastAsia" w:eastAsiaTheme="minorEastAsia" w:cstheme="minorEastAsia"/>
                <w:b w:val="0"/>
                <w:bCs w:val="0"/>
                <w:color w:val="auto"/>
                <w:sz w:val="24"/>
                <w:szCs w:val="24"/>
              </w:rPr>
              <w:t>不另行计算</w:t>
            </w:r>
            <w:r>
              <w:rPr>
                <w:rFonts w:hint="eastAsia" w:asciiTheme="minorEastAsia" w:hAnsiTheme="minorEastAsia" w:cstheme="minorEastAsia"/>
                <w:b w:val="0"/>
                <w:bCs w:val="0"/>
                <w:color w:val="auto"/>
                <w:sz w:val="24"/>
                <w:szCs w:val="24"/>
                <w:lang w:eastAsia="zh-CN"/>
              </w:rPr>
              <w:t>；</w:t>
            </w:r>
          </w:p>
          <w:p w14:paraId="19666F66">
            <w:pPr>
              <w:pStyle w:val="14"/>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cstheme="minorEastAsia"/>
                <w:b w:val="0"/>
                <w:bCs w:val="0"/>
                <w:color w:val="auto"/>
                <w:sz w:val="24"/>
                <w:szCs w:val="24"/>
                <w:lang w:eastAsia="zh-CN"/>
              </w:rPr>
            </w:pPr>
            <w:r>
              <w:rPr>
                <w:rFonts w:hint="eastAsia" w:asciiTheme="minorEastAsia" w:hAnsiTheme="minorEastAsia" w:cstheme="minorEastAsia"/>
                <w:b w:val="0"/>
                <w:bCs w:val="0"/>
                <w:color w:val="auto"/>
                <w:sz w:val="24"/>
                <w:szCs w:val="24"/>
                <w:lang w:eastAsia="zh-CN"/>
              </w:rPr>
              <w:t>（2）项目实际结算价款以采购人（或采购人集团）委托的第三方咨询机构审定的结算价为准。</w:t>
            </w:r>
          </w:p>
          <w:p w14:paraId="255399FB">
            <w:pPr>
              <w:pStyle w:val="14"/>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b w:val="0"/>
                <w:bCs w:val="0"/>
                <w:color w:val="auto"/>
                <w:sz w:val="24"/>
                <w:szCs w:val="24"/>
                <w:lang w:eastAsia="zh-CN"/>
              </w:rPr>
            </w:pPr>
            <w:r>
              <w:rPr>
                <w:rFonts w:hint="eastAsia" w:asciiTheme="minorEastAsia" w:hAnsiTheme="minorEastAsia" w:cstheme="minorEastAsia"/>
                <w:b w:val="0"/>
                <w:bCs w:val="0"/>
                <w:color w:val="auto"/>
                <w:sz w:val="24"/>
                <w:szCs w:val="24"/>
                <w:lang w:eastAsia="zh-CN"/>
              </w:rPr>
              <w:t>（3）本项目采购范围内的施工内容在实际施工中可能会出现增加或减少的情况。中</w:t>
            </w:r>
            <w:r>
              <w:rPr>
                <w:rFonts w:hint="default" w:asciiTheme="minorEastAsia" w:hAnsiTheme="minorEastAsia" w:cstheme="minorEastAsia"/>
                <w:b w:val="0"/>
                <w:bCs w:val="0"/>
                <w:color w:val="auto"/>
                <w:sz w:val="24"/>
                <w:szCs w:val="24"/>
                <w:lang w:eastAsia="zh-CN"/>
              </w:rPr>
              <w:t>选</w:t>
            </w:r>
            <w:r>
              <w:rPr>
                <w:rFonts w:hint="eastAsia" w:asciiTheme="minorEastAsia" w:hAnsiTheme="minorEastAsia" w:cstheme="minorEastAsia"/>
                <w:b w:val="0"/>
                <w:bCs w:val="0"/>
                <w:color w:val="auto"/>
                <w:sz w:val="24"/>
                <w:szCs w:val="24"/>
                <w:lang w:eastAsia="zh-CN"/>
              </w:rPr>
              <w:t>人应无条件服从采购人确定的变更和无条件服从采购人确定的变更和要求，不得因此延误工期，必须保质保量的按要求进行施工，且不得因工程量的变化提出任何索赔。</w:t>
            </w:r>
          </w:p>
        </w:tc>
      </w:tr>
      <w:tr w14:paraId="55D185D0">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86B207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5</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EB6F10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rPr>
              <w:t>付款方式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63AEDB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leftChars="0" w:right="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0"/>
                <w:sz w:val="24"/>
                <w:szCs w:val="24"/>
                <w:lang w:val="en-US" w:eastAsia="zh-CN"/>
              </w:rPr>
              <w:t>不支付进度款，</w:t>
            </w:r>
            <w:r>
              <w:rPr>
                <w:rFonts w:hint="eastAsia" w:ascii="宋体" w:hAnsi="宋体" w:eastAsia="宋体" w:cs="宋体"/>
                <w:b w:val="0"/>
                <w:bCs/>
                <w:kern w:val="0"/>
                <w:sz w:val="24"/>
                <w:szCs w:val="24"/>
                <w:lang w:val="en-US" w:eastAsia="zh-CN" w:bidi="ar"/>
              </w:rPr>
              <w:t>待供应商完工经采购方验收合格后支付至</w:t>
            </w:r>
            <w:r>
              <w:rPr>
                <w:rFonts w:hint="default" w:ascii="宋体" w:hAnsi="宋体" w:eastAsia="宋体" w:cs="宋体"/>
                <w:b w:val="0"/>
                <w:bCs/>
                <w:kern w:val="0"/>
                <w:sz w:val="24"/>
                <w:szCs w:val="24"/>
                <w:lang w:eastAsia="zh-CN" w:bidi="ar"/>
              </w:rPr>
              <w:t>中标</w:t>
            </w:r>
            <w:r>
              <w:rPr>
                <w:rFonts w:hint="eastAsia" w:ascii="宋体" w:hAnsi="宋体" w:eastAsia="宋体" w:cs="宋体"/>
                <w:bCs/>
                <w:kern w:val="0"/>
                <w:sz w:val="24"/>
                <w:szCs w:val="24"/>
                <w:lang w:val="en-US" w:eastAsia="zh-CN" w:bidi="ar"/>
              </w:rPr>
              <w:t>金额的</w:t>
            </w:r>
            <w:r>
              <w:rPr>
                <w:rFonts w:hint="default" w:ascii="宋体" w:hAnsi="宋体" w:eastAsia="宋体" w:cs="宋体"/>
                <w:bCs/>
                <w:kern w:val="0"/>
                <w:sz w:val="24"/>
                <w:szCs w:val="24"/>
                <w:lang w:eastAsia="zh-CN" w:bidi="ar"/>
              </w:rPr>
              <w:t>75</w:t>
            </w:r>
            <w:r>
              <w:rPr>
                <w:rFonts w:hint="eastAsia" w:ascii="宋体" w:hAnsi="宋体" w:eastAsia="宋体" w:cs="宋体"/>
                <w:b w:val="0"/>
                <w:bCs/>
                <w:kern w:val="0"/>
                <w:sz w:val="24"/>
                <w:szCs w:val="24"/>
                <w:lang w:val="en-US" w:eastAsia="zh-CN" w:bidi="ar"/>
              </w:rPr>
              <w:t>%，</w:t>
            </w:r>
            <w:r>
              <w:rPr>
                <w:rFonts w:hint="eastAsia" w:ascii="宋体" w:hAnsi="宋体" w:eastAsia="宋体" w:cs="宋体"/>
                <w:bCs/>
                <w:kern w:val="0"/>
                <w:sz w:val="24"/>
                <w:szCs w:val="24"/>
                <w:lang w:val="en-US" w:eastAsia="zh-CN" w:bidi="ar"/>
              </w:rPr>
              <w:t>结算审计完成后</w:t>
            </w:r>
            <w:r>
              <w:rPr>
                <w:rFonts w:hint="default" w:ascii="宋体" w:hAnsi="宋体" w:eastAsia="宋体" w:cs="宋体"/>
                <w:bCs/>
                <w:kern w:val="0"/>
                <w:sz w:val="24"/>
                <w:szCs w:val="24"/>
                <w:lang w:eastAsia="zh-CN" w:bidi="ar"/>
              </w:rPr>
              <w:t>按</w:t>
            </w:r>
            <w:r>
              <w:rPr>
                <w:rFonts w:hint="eastAsia" w:ascii="宋体" w:hAnsi="宋体" w:eastAsia="宋体" w:cs="宋体"/>
                <w:bCs/>
                <w:kern w:val="0"/>
                <w:sz w:val="24"/>
                <w:szCs w:val="24"/>
                <w:lang w:val="en-US" w:eastAsia="zh-CN" w:bidi="ar"/>
              </w:rPr>
              <w:t>审计确认金额</w:t>
            </w:r>
            <w:r>
              <w:rPr>
                <w:rFonts w:hint="default" w:ascii="宋体" w:hAnsi="宋体" w:eastAsia="宋体" w:cs="宋体"/>
                <w:bCs/>
                <w:kern w:val="0"/>
                <w:sz w:val="24"/>
                <w:szCs w:val="24"/>
                <w:lang w:eastAsia="zh-CN" w:bidi="ar"/>
              </w:rPr>
              <w:t>支付至</w:t>
            </w:r>
            <w:r>
              <w:rPr>
                <w:rFonts w:hint="eastAsia" w:ascii="宋体" w:hAnsi="宋体" w:eastAsia="宋体" w:cs="宋体"/>
                <w:b w:val="0"/>
                <w:bCs/>
                <w:kern w:val="0"/>
                <w:sz w:val="24"/>
                <w:szCs w:val="24"/>
                <w:lang w:val="en-US" w:eastAsia="zh-CN" w:bidi="ar"/>
              </w:rPr>
              <w:t>95%</w:t>
            </w:r>
            <w:r>
              <w:rPr>
                <w:rFonts w:hint="eastAsia" w:asciiTheme="minorEastAsia" w:hAnsiTheme="minorEastAsia" w:eastAsiaTheme="minorEastAsia" w:cstheme="minorEastAsia"/>
                <w:b w:val="0"/>
                <w:bCs/>
                <w:color w:val="auto"/>
                <w:kern w:val="0"/>
                <w:sz w:val="24"/>
                <w:szCs w:val="24"/>
                <w:lang w:val="en-US" w:eastAsia="zh-CN"/>
              </w:rPr>
              <w:t>，剩余5%为工程质量质保金。工程竣工验收合格并满一年后，如工程无质量问题（经采购方确认）且供应商未违约，采购方将工程质量质保金向供应商不计息一次性付清。</w:t>
            </w:r>
          </w:p>
        </w:tc>
      </w:tr>
      <w:tr w14:paraId="149B94DD">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542BA1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6</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555D32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00C07E4B">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u w:val="single"/>
                <w:lang w:val="en-US" w:eastAsia="zh-CN"/>
              </w:rPr>
              <w:t xml:space="preserve"> 人民币 </w:t>
            </w:r>
            <w:r>
              <w:rPr>
                <w:rFonts w:hint="eastAsia" w:asciiTheme="minorEastAsia" w:hAnsiTheme="minorEastAsia" w:eastAsiaTheme="minorEastAsia" w:cstheme="minorEastAsia"/>
                <w:color w:val="auto"/>
                <w:sz w:val="24"/>
                <w:szCs w:val="24"/>
              </w:rPr>
              <w:t>报价，</w:t>
            </w:r>
            <w:r>
              <w:rPr>
                <w:rFonts w:hint="eastAsia" w:asciiTheme="minorEastAsia" w:hAnsiTheme="minorEastAsia" w:cstheme="minorEastAsia"/>
                <w:color w:val="auto"/>
                <w:sz w:val="24"/>
                <w:szCs w:val="24"/>
                <w:lang w:val="en-US" w:eastAsia="zh-CN"/>
              </w:rPr>
              <w:t>该报价</w:t>
            </w:r>
            <w:r>
              <w:rPr>
                <w:rFonts w:hint="eastAsia" w:asciiTheme="minorEastAsia" w:hAnsiTheme="minorEastAsia" w:eastAsiaTheme="minorEastAsia" w:cstheme="minorEastAsia"/>
                <w:color w:val="auto"/>
                <w:sz w:val="24"/>
                <w:szCs w:val="24"/>
              </w:rPr>
              <w:t>包括</w:t>
            </w:r>
            <w:r>
              <w:rPr>
                <w:rFonts w:hint="eastAsia" w:asciiTheme="minorEastAsia" w:hAnsiTheme="minorEastAsia" w:eastAsiaTheme="minorEastAsia" w:cstheme="minorEastAsia"/>
                <w:color w:val="auto"/>
                <w:sz w:val="24"/>
                <w:szCs w:val="24"/>
                <w:lang w:val="en-US" w:eastAsia="zh-CN"/>
              </w:rPr>
              <w:t>但不限于</w:t>
            </w:r>
            <w:r>
              <w:rPr>
                <w:rFonts w:hint="eastAsia" w:asciiTheme="minorEastAsia" w:hAnsiTheme="minorEastAsia" w:eastAsiaTheme="minorEastAsia" w:cstheme="minorEastAsia"/>
                <w:color w:val="auto"/>
                <w:sz w:val="24"/>
                <w:szCs w:val="24"/>
              </w:rPr>
              <w:t>完成本项目所需人员</w:t>
            </w:r>
            <w:r>
              <w:rPr>
                <w:rFonts w:hint="eastAsia" w:asciiTheme="minorEastAsia" w:hAnsiTheme="minorEastAsia" w:cstheme="minorEastAsia"/>
                <w:color w:val="auto"/>
                <w:sz w:val="24"/>
                <w:szCs w:val="24"/>
                <w:lang w:val="en-US" w:eastAsia="zh-CN"/>
              </w:rPr>
              <w:t>费用</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物料、设备、</w:t>
            </w:r>
            <w:r>
              <w:rPr>
                <w:rFonts w:hint="eastAsia" w:asciiTheme="minorEastAsia" w:hAnsiTheme="minorEastAsia" w:cstheme="minorEastAsia"/>
                <w:color w:val="auto"/>
                <w:sz w:val="24"/>
                <w:szCs w:val="24"/>
                <w:lang w:val="en-US" w:eastAsia="zh-CN"/>
              </w:rPr>
              <w:t>管理费用、利润、</w:t>
            </w:r>
            <w:r>
              <w:rPr>
                <w:rFonts w:hint="eastAsia" w:asciiTheme="minorEastAsia" w:hAnsiTheme="minorEastAsia" w:eastAsiaTheme="minorEastAsia" w:cstheme="minorEastAsia"/>
                <w:color w:val="auto"/>
                <w:sz w:val="24"/>
                <w:szCs w:val="24"/>
              </w:rPr>
              <w:t>税金等一切费用</w:t>
            </w:r>
            <w:r>
              <w:rPr>
                <w:rFonts w:hint="eastAsia" w:asciiTheme="minorEastAsia" w:hAnsiTheme="minorEastAsia" w:eastAsiaTheme="minorEastAsia" w:cstheme="minorEastAsia"/>
                <w:color w:val="auto"/>
                <w:sz w:val="24"/>
                <w:szCs w:val="24"/>
                <w:lang w:eastAsia="zh-Hans"/>
              </w:rPr>
              <w:t>。</w:t>
            </w:r>
          </w:p>
        </w:tc>
      </w:tr>
      <w:tr w14:paraId="3C25D982">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96BEF6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7</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04BF0B8">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8E08D04">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2"/>
                <w:sz w:val="24"/>
                <w:szCs w:val="24"/>
                <w:lang w:val="en-US" w:eastAsia="zh-CN" w:bidi="ar-SA"/>
              </w:rPr>
              <w:t>实行履约保证金担保，履约保证金为合同价款</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eastAsiaTheme="minorEastAsia" w:cstheme="minorEastAsia"/>
                <w:b w:val="0"/>
                <w:bCs/>
                <w:color w:val="auto"/>
                <w:kern w:val="2"/>
                <w:sz w:val="24"/>
                <w:szCs w:val="24"/>
                <w:lang w:val="en-US" w:eastAsia="zh-CN" w:bidi="ar-SA"/>
              </w:rPr>
              <w:t>﹪</w:t>
            </w:r>
            <w:r>
              <w:rPr>
                <w:rFonts w:hint="eastAsia" w:asciiTheme="minorEastAsia" w:hAnsiTheme="minorEastAsia" w:cstheme="minorEastAsia"/>
                <w:b w:val="0"/>
                <w:bCs/>
                <w:color w:val="auto"/>
                <w:kern w:val="2"/>
                <w:sz w:val="24"/>
                <w:szCs w:val="24"/>
                <w:lang w:val="en-US" w:eastAsia="zh-CN" w:bidi="ar-SA"/>
              </w:rPr>
              <w:t>，共计人民币</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cstheme="minorEastAsia"/>
                <w:b w:val="0"/>
                <w:bCs/>
                <w:color w:val="auto"/>
                <w:kern w:val="2"/>
                <w:sz w:val="24"/>
                <w:szCs w:val="24"/>
                <w:u w:val="none"/>
                <w:lang w:val="en-US" w:eastAsia="zh-CN" w:bidi="ar-SA"/>
              </w:rPr>
              <w:t>元（小写：</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cstheme="minorEastAsia"/>
                <w:b w:val="0"/>
                <w:bCs/>
                <w:color w:val="auto"/>
                <w:kern w:val="2"/>
                <w:sz w:val="24"/>
                <w:szCs w:val="24"/>
                <w:u w:val="none"/>
                <w:lang w:val="en-US" w:eastAsia="zh-CN" w:bidi="ar-SA"/>
              </w:rPr>
              <w:t>元）</w:t>
            </w:r>
            <w:r>
              <w:rPr>
                <w:rFonts w:hint="eastAsia" w:asciiTheme="minorEastAsia" w:hAnsiTheme="minorEastAsia" w:eastAsiaTheme="minorEastAsia" w:cstheme="minorEastAsia"/>
                <w:b w:val="0"/>
                <w:bCs/>
                <w:color w:val="auto"/>
                <w:kern w:val="2"/>
                <w:sz w:val="24"/>
                <w:szCs w:val="24"/>
                <w:lang w:val="en-US" w:eastAsia="zh-CN" w:bidi="ar-SA"/>
              </w:rPr>
              <w:t>；接到</w:t>
            </w:r>
            <w:r>
              <w:rPr>
                <w:rFonts w:hint="eastAsia" w:asciiTheme="minorEastAsia" w:hAnsiTheme="minorEastAsia" w:cstheme="minorEastAsia"/>
                <w:b w:val="0"/>
                <w:bCs/>
                <w:color w:val="auto"/>
                <w:kern w:val="2"/>
                <w:sz w:val="24"/>
                <w:szCs w:val="24"/>
                <w:lang w:val="en-US" w:eastAsia="zh-CN" w:bidi="ar-SA"/>
              </w:rPr>
              <w:t>成交</w:t>
            </w:r>
            <w:r>
              <w:rPr>
                <w:rFonts w:hint="eastAsia" w:asciiTheme="minorEastAsia" w:hAnsiTheme="minorEastAsia" w:eastAsiaTheme="minorEastAsia" w:cstheme="minorEastAsia"/>
                <w:b w:val="0"/>
                <w:bCs/>
                <w:color w:val="auto"/>
                <w:kern w:val="2"/>
                <w:sz w:val="24"/>
                <w:szCs w:val="24"/>
                <w:lang w:val="en-US" w:eastAsia="zh-CN" w:bidi="ar-SA"/>
              </w:rPr>
              <w:t>通知书后</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eastAsiaTheme="minorEastAsia" w:cstheme="minorEastAsia"/>
                <w:b w:val="0"/>
                <w:bCs/>
                <w:color w:val="auto"/>
                <w:kern w:val="2"/>
                <w:sz w:val="24"/>
                <w:szCs w:val="24"/>
                <w:lang w:val="en-US" w:eastAsia="zh-CN" w:bidi="ar-SA"/>
              </w:rPr>
              <w:t>天内提交。</w:t>
            </w:r>
          </w:p>
        </w:tc>
      </w:tr>
      <w:tr w14:paraId="056247BB">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464F75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8</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5F430B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401E210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240" w:firstLineChars="100"/>
              <w:jc w:val="both"/>
              <w:textAlignment w:val="auto"/>
              <w:rPr>
                <w:rFonts w:hint="default" w:asciiTheme="minorEastAsia" w:hAnsiTheme="minorEastAsia" w:eastAsiaTheme="minorEastAsia" w:cstheme="minorEastAsia"/>
                <w:color w:val="auto"/>
                <w:sz w:val="24"/>
                <w:szCs w:val="24"/>
                <w:lang w:eastAsia="zh-CN"/>
              </w:rPr>
            </w:pPr>
            <w:r>
              <w:rPr>
                <w:rFonts w:hint="default" w:ascii="宋体" w:hAnsi="宋体" w:eastAsia="宋体" w:cs="宋体"/>
                <w:kern w:val="2"/>
                <w:sz w:val="24"/>
                <w:szCs w:val="24"/>
                <w:lang w:eastAsia="zh-CN" w:bidi="ar"/>
              </w:rPr>
              <w:t xml:space="preserve">  </w:t>
            </w:r>
            <w:r>
              <w:rPr>
                <w:rFonts w:hint="eastAsia" w:ascii="宋体" w:hAnsi="宋体" w:eastAsia="宋体" w:cs="宋体"/>
                <w:kern w:val="2"/>
                <w:sz w:val="24"/>
                <w:szCs w:val="24"/>
                <w:lang w:val="en-US" w:eastAsia="zh-CN" w:bidi="ar"/>
              </w:rPr>
              <w:t>搭拆建满堂架不得超过7天</w:t>
            </w:r>
            <w:r>
              <w:rPr>
                <w:rFonts w:hint="default" w:ascii="宋体" w:hAnsi="宋体" w:eastAsia="宋体" w:cs="宋体"/>
                <w:kern w:val="2"/>
                <w:sz w:val="24"/>
                <w:szCs w:val="24"/>
                <w:lang w:eastAsia="zh-CN" w:bidi="ar"/>
              </w:rPr>
              <w:t>，满堂架需预留出入口通道，并不得影响酒店正常营业</w:t>
            </w:r>
            <w:r>
              <w:rPr>
                <w:rFonts w:hint="default" w:asciiTheme="minorEastAsia" w:hAnsiTheme="minorEastAsia" w:cstheme="minorEastAsia"/>
                <w:color w:val="auto"/>
                <w:sz w:val="24"/>
                <w:szCs w:val="24"/>
                <w:lang w:eastAsia="zh-CN"/>
              </w:rPr>
              <w:t>。</w:t>
            </w:r>
          </w:p>
        </w:tc>
      </w:tr>
    </w:tbl>
    <w:p w14:paraId="2A1E7A85">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14:paraId="74E9BA40">
      <w:pPr>
        <w:pStyle w:val="9"/>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3283329">
      <w:pPr>
        <w:pStyle w:val="8"/>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736B41C">
      <w:pPr>
        <w:pStyle w:val="5"/>
        <w:rPr>
          <w:rFonts w:hint="eastAsia" w:ascii="仿宋_GB2312" w:hAnsi="仿宋_GB2312" w:eastAsia="仿宋_GB2312" w:cs="仿宋_GB2312"/>
          <w:b/>
          <w:bCs/>
          <w:color w:val="auto"/>
          <w:sz w:val="32"/>
          <w:szCs w:val="32"/>
          <w:lang w:val="en-US" w:eastAsia="zh-CN"/>
        </w:rPr>
      </w:pPr>
    </w:p>
    <w:p w14:paraId="3577F91C">
      <w:pPr>
        <w:pStyle w:val="6"/>
        <w:rPr>
          <w:rFonts w:hint="eastAsia" w:ascii="仿宋_GB2312" w:hAnsi="仿宋_GB2312" w:eastAsia="仿宋_GB2312" w:cs="仿宋_GB2312"/>
          <w:b/>
          <w:bCs/>
          <w:color w:val="auto"/>
          <w:sz w:val="32"/>
          <w:szCs w:val="32"/>
          <w:lang w:val="en-US" w:eastAsia="zh-CN"/>
        </w:rPr>
      </w:pPr>
    </w:p>
    <w:p w14:paraId="01152385">
      <w:pPr>
        <w:pStyle w:val="6"/>
        <w:rPr>
          <w:rFonts w:hint="eastAsia" w:ascii="仿宋_GB2312" w:hAnsi="仿宋_GB2312" w:eastAsia="仿宋_GB2312" w:cs="仿宋_GB2312"/>
          <w:b/>
          <w:bCs/>
          <w:color w:val="auto"/>
          <w:sz w:val="32"/>
          <w:szCs w:val="32"/>
          <w:lang w:val="en-US" w:eastAsia="zh-CN"/>
        </w:rPr>
      </w:pPr>
    </w:p>
    <w:p w14:paraId="316E9151">
      <w:pPr>
        <w:pStyle w:val="6"/>
        <w:rPr>
          <w:rFonts w:hint="eastAsia" w:ascii="仿宋_GB2312" w:hAnsi="仿宋_GB2312" w:eastAsia="仿宋_GB2312" w:cs="仿宋_GB2312"/>
          <w:b/>
          <w:bCs/>
          <w:color w:val="auto"/>
          <w:sz w:val="32"/>
          <w:szCs w:val="32"/>
          <w:lang w:val="en-US" w:eastAsia="zh-CN"/>
        </w:rPr>
      </w:pPr>
    </w:p>
    <w:p w14:paraId="4C83603E">
      <w:pPr>
        <w:pStyle w:val="6"/>
        <w:rPr>
          <w:rFonts w:hint="eastAsia" w:ascii="仿宋_GB2312" w:hAnsi="仿宋_GB2312" w:eastAsia="仿宋_GB2312" w:cs="仿宋_GB2312"/>
          <w:b/>
          <w:bCs/>
          <w:color w:val="auto"/>
          <w:sz w:val="32"/>
          <w:szCs w:val="32"/>
          <w:lang w:val="en-US" w:eastAsia="zh-CN"/>
        </w:rPr>
      </w:pPr>
    </w:p>
    <w:p w14:paraId="0C4D9DA8">
      <w:pPr>
        <w:pStyle w:val="6"/>
        <w:rPr>
          <w:rFonts w:hint="eastAsia" w:ascii="仿宋_GB2312" w:hAnsi="仿宋_GB2312" w:eastAsia="仿宋_GB2312" w:cs="仿宋_GB2312"/>
          <w:b/>
          <w:bCs/>
          <w:color w:val="auto"/>
          <w:sz w:val="32"/>
          <w:szCs w:val="32"/>
          <w:lang w:val="en-US" w:eastAsia="zh-CN"/>
        </w:rPr>
      </w:pPr>
    </w:p>
    <w:p w14:paraId="161DE803">
      <w:pPr>
        <w:pStyle w:val="6"/>
        <w:rPr>
          <w:rFonts w:hint="eastAsia" w:ascii="仿宋_GB2312" w:hAnsi="仿宋_GB2312" w:eastAsia="仿宋_GB2312" w:cs="仿宋_GB2312"/>
          <w:b/>
          <w:bCs/>
          <w:color w:val="auto"/>
          <w:sz w:val="32"/>
          <w:szCs w:val="32"/>
          <w:lang w:val="en-US" w:eastAsia="zh-CN"/>
        </w:rPr>
      </w:pPr>
    </w:p>
    <w:p w14:paraId="5097052A">
      <w:pPr>
        <w:pStyle w:val="6"/>
        <w:rPr>
          <w:rFonts w:hint="eastAsia" w:ascii="仿宋_GB2312" w:hAnsi="仿宋_GB2312" w:eastAsia="仿宋_GB2312" w:cs="仿宋_GB2312"/>
          <w:b/>
          <w:bCs/>
          <w:color w:val="auto"/>
          <w:sz w:val="32"/>
          <w:szCs w:val="32"/>
          <w:lang w:val="en-US" w:eastAsia="zh-CN"/>
        </w:rPr>
      </w:pPr>
    </w:p>
    <w:p w14:paraId="628D88D4">
      <w:pPr>
        <w:pStyle w:val="6"/>
        <w:rPr>
          <w:rFonts w:hint="eastAsia" w:ascii="仿宋_GB2312" w:hAnsi="仿宋_GB2312" w:eastAsia="仿宋_GB2312" w:cs="仿宋_GB2312"/>
          <w:b/>
          <w:bCs/>
          <w:color w:val="auto"/>
          <w:sz w:val="32"/>
          <w:szCs w:val="32"/>
          <w:lang w:val="en-US" w:eastAsia="zh-CN"/>
        </w:rPr>
      </w:pPr>
    </w:p>
    <w:p w14:paraId="6E93B026">
      <w:pPr>
        <w:pStyle w:val="6"/>
        <w:rPr>
          <w:rFonts w:hint="eastAsia" w:ascii="仿宋_GB2312" w:hAnsi="仿宋_GB2312" w:eastAsia="仿宋_GB2312" w:cs="仿宋_GB2312"/>
          <w:b/>
          <w:bCs/>
          <w:color w:val="auto"/>
          <w:sz w:val="32"/>
          <w:szCs w:val="32"/>
          <w:lang w:val="en-US" w:eastAsia="zh-CN"/>
        </w:rPr>
      </w:pPr>
    </w:p>
    <w:p w14:paraId="098406F2">
      <w:pPr>
        <w:pStyle w:val="6"/>
        <w:rPr>
          <w:rFonts w:hint="eastAsia" w:ascii="仿宋_GB2312" w:hAnsi="仿宋_GB2312" w:eastAsia="仿宋_GB2312" w:cs="仿宋_GB2312"/>
          <w:b/>
          <w:bCs/>
          <w:color w:val="auto"/>
          <w:sz w:val="32"/>
          <w:szCs w:val="32"/>
          <w:lang w:val="en-US" w:eastAsia="zh-CN"/>
        </w:rPr>
      </w:pPr>
    </w:p>
    <w:p w14:paraId="1B490CA8">
      <w:pPr>
        <w:pStyle w:val="6"/>
        <w:rPr>
          <w:rFonts w:hint="eastAsia" w:ascii="仿宋_GB2312" w:hAnsi="仿宋_GB2312" w:eastAsia="仿宋_GB2312" w:cs="仿宋_GB2312"/>
          <w:b/>
          <w:bCs/>
          <w:color w:val="auto"/>
          <w:sz w:val="32"/>
          <w:szCs w:val="32"/>
          <w:lang w:val="en-US" w:eastAsia="zh-CN"/>
        </w:rPr>
      </w:pPr>
    </w:p>
    <w:p w14:paraId="4A5511C6">
      <w:pPr>
        <w:pStyle w:val="6"/>
        <w:rPr>
          <w:rFonts w:hint="eastAsia" w:ascii="仿宋_GB2312" w:hAnsi="仿宋_GB2312" w:eastAsia="仿宋_GB2312" w:cs="仿宋_GB2312"/>
          <w:b/>
          <w:bCs/>
          <w:color w:val="auto"/>
          <w:sz w:val="32"/>
          <w:szCs w:val="32"/>
          <w:lang w:val="en-US" w:eastAsia="zh-CN"/>
        </w:rPr>
      </w:pPr>
    </w:p>
    <w:p w14:paraId="4BE7722F">
      <w:pPr>
        <w:pStyle w:val="6"/>
        <w:rPr>
          <w:rFonts w:hint="eastAsia" w:ascii="仿宋_GB2312" w:hAnsi="仿宋_GB2312" w:eastAsia="仿宋_GB2312" w:cs="仿宋_GB2312"/>
          <w:b/>
          <w:bCs/>
          <w:color w:val="auto"/>
          <w:sz w:val="32"/>
          <w:szCs w:val="32"/>
          <w:lang w:val="en-US" w:eastAsia="zh-CN"/>
        </w:rPr>
      </w:pPr>
    </w:p>
    <w:p w14:paraId="1ABD5C0B">
      <w:pPr>
        <w:pStyle w:val="6"/>
        <w:rPr>
          <w:rFonts w:hint="eastAsia" w:ascii="仿宋_GB2312" w:hAnsi="仿宋_GB2312" w:eastAsia="仿宋_GB2312" w:cs="仿宋_GB2312"/>
          <w:b/>
          <w:bCs/>
          <w:color w:val="auto"/>
          <w:sz w:val="32"/>
          <w:szCs w:val="32"/>
          <w:lang w:val="en-US" w:eastAsia="zh-CN"/>
        </w:rPr>
      </w:pPr>
    </w:p>
    <w:p w14:paraId="3EB53F5B">
      <w:pPr>
        <w:pStyle w:val="6"/>
        <w:rPr>
          <w:rFonts w:hint="eastAsia" w:ascii="仿宋_GB2312" w:hAnsi="仿宋_GB2312" w:eastAsia="仿宋_GB2312" w:cs="仿宋_GB2312"/>
          <w:b/>
          <w:bCs/>
          <w:color w:val="auto"/>
          <w:sz w:val="32"/>
          <w:szCs w:val="32"/>
          <w:lang w:val="en-US" w:eastAsia="zh-CN"/>
        </w:rPr>
      </w:pPr>
    </w:p>
    <w:p w14:paraId="7C08AA63">
      <w:pPr>
        <w:pStyle w:val="6"/>
        <w:rPr>
          <w:rFonts w:hint="eastAsia" w:ascii="仿宋_GB2312" w:hAnsi="仿宋_GB2312" w:eastAsia="仿宋_GB2312" w:cs="仿宋_GB2312"/>
          <w:b/>
          <w:bCs/>
          <w:color w:val="auto"/>
          <w:sz w:val="32"/>
          <w:szCs w:val="32"/>
          <w:lang w:val="en-US" w:eastAsia="zh-CN"/>
        </w:rPr>
      </w:pPr>
    </w:p>
    <w:p w14:paraId="20714D58">
      <w:pPr>
        <w:pStyle w:val="6"/>
        <w:rPr>
          <w:rFonts w:hint="eastAsia" w:ascii="仿宋_GB2312" w:hAnsi="仿宋_GB2312" w:eastAsia="仿宋_GB2312" w:cs="仿宋_GB2312"/>
          <w:b/>
          <w:bCs/>
          <w:color w:val="auto"/>
          <w:sz w:val="32"/>
          <w:szCs w:val="32"/>
          <w:lang w:val="en-US" w:eastAsia="zh-CN"/>
        </w:rPr>
      </w:pPr>
    </w:p>
    <w:p w14:paraId="31307079">
      <w:pPr>
        <w:pStyle w:val="6"/>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26B2F491">
      <w:pPr>
        <w:pStyle w:val="9"/>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95" w:name="_Toc5971"/>
      <w:bookmarkStart w:id="96" w:name="_Toc12082"/>
      <w:r>
        <w:rPr>
          <w:rFonts w:hint="eastAsia" w:ascii="楷体" w:hAnsi="楷体" w:eastAsia="楷体" w:cs="楷体"/>
          <w:b/>
          <w:bCs/>
          <w:color w:val="auto"/>
          <w:sz w:val="32"/>
          <w:szCs w:val="32"/>
          <w:lang w:val="en-US" w:eastAsia="zh-CN"/>
        </w:rPr>
        <w:t>二、技术要求</w:t>
      </w:r>
      <w:bookmarkEnd w:id="95"/>
      <w:bookmarkEnd w:id="96"/>
    </w:p>
    <w:p w14:paraId="75C8938E">
      <w:pPr>
        <w:pStyle w:val="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b w:val="0"/>
          <w:bCs w:val="0"/>
          <w:color w:val="auto"/>
          <w:sz w:val="32"/>
          <w:szCs w:val="32"/>
          <w:lang w:val="en-US" w:eastAsia="zh-CN"/>
        </w:rPr>
      </w:pPr>
      <w:r>
        <w:rPr>
          <w:rFonts w:hint="eastAsia" w:ascii="宋体" w:hAnsi="宋体" w:eastAsia="宋体" w:cs="宋体"/>
          <w:b w:val="0"/>
          <w:bCs w:val="0"/>
          <w:color w:val="auto"/>
          <w:sz w:val="32"/>
          <w:szCs w:val="32"/>
          <w:lang w:val="en-US" w:eastAsia="zh-CN"/>
        </w:rPr>
        <w:t>材料的质量必须符合工程规范和相关标准，以确保工程的安全性和持久性。</w:t>
      </w:r>
    </w:p>
    <w:p w14:paraId="22D02DC6">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270FAB00">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4513E61">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7B2ED2DC">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08525386">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71BD2159">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83F209D">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2271EAFF">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72FF0B17">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4FA18ABA">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F0E010E">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F7BF08E">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4300F57E">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08B96B52">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5AEC4E1">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725343A">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765D1DFC">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14:paraId="59ABD501">
      <w:pPr>
        <w:pStyle w:val="6"/>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p>
    <w:p w14:paraId="3EDABBF9">
      <w:pPr>
        <w:pStyle w:val="6"/>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p>
    <w:p w14:paraId="38D6004A">
      <w:pPr>
        <w:pStyle w:val="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6D1B7DD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lvlText w:val="%1.%2.%3.%4.%5"/>
      <w:lvlJc w:val="left"/>
      <w:pPr>
        <w:ind w:left="0" w:firstLine="0"/>
      </w:pPr>
      <w:rPr>
        <w:rFonts w:hint="eastAsia" w:ascii="黑体" w:eastAsia="黑体"/>
        <w:b w:val="0"/>
        <w:i w:val="0"/>
        <w:sz w:val="24"/>
      </w:rPr>
    </w:lvl>
    <w:lvl w:ilvl="5" w:tentative="0">
      <w:start w:val="1"/>
      <w:numFmt w:val="decimal"/>
      <w:lvlText w:val="%1.%2.%3.%4.%5.%6"/>
      <w:lvlJc w:val="left"/>
      <w:pPr>
        <w:ind w:left="0" w:firstLine="0"/>
      </w:pPr>
      <w:rPr>
        <w:rFonts w:hint="eastAsia" w:ascii="黑体" w:eastAsia="黑体"/>
        <w:b w:val="0"/>
        <w:i w:val="0"/>
        <w:sz w:val="24"/>
      </w:rPr>
    </w:lvl>
    <w:lvl w:ilvl="6" w:tentative="0">
      <w:start w:val="1"/>
      <w:numFmt w:val="decimal"/>
      <w:lvlText w:val="（%7）"/>
      <w:lvlJc w:val="left"/>
      <w:pPr>
        <w:ind w:left="1191" w:firstLine="0"/>
      </w:pPr>
      <w:rPr>
        <w:rFonts w:hint="eastAsia" w:ascii="黑体" w:eastAsia="黑体"/>
        <w:b w:val="0"/>
        <w:i w:val="0"/>
        <w:sz w:val="24"/>
      </w:rPr>
    </w:lvl>
    <w:lvl w:ilvl="7" w:tentative="0">
      <w:start w:val="1"/>
      <w:numFmt w:val="lowerLetter"/>
      <w:lvlText w:val="（%8）"/>
      <w:lvlJc w:val="left"/>
      <w:pPr>
        <w:ind w:left="1888" w:firstLine="0"/>
      </w:pPr>
      <w:rPr>
        <w:rFonts w:hint="eastAsia" w:ascii="黑体" w:eastAsia="黑体"/>
        <w:b w:val="0"/>
        <w:i w:val="0"/>
        <w:sz w:val="24"/>
      </w:rPr>
    </w:lvl>
    <w:lvl w:ilvl="8" w:tentative="0">
      <w:start w:val="1"/>
      <w:numFmt w:val="lowerRoman"/>
      <w:lvlText w:val="（%9）"/>
      <w:lvlJc w:val="left"/>
      <w:pPr>
        <w:ind w:left="2591" w:firstLine="0"/>
      </w:pPr>
      <w:rPr>
        <w:rFonts w:hint="eastAsia" w:ascii="黑体" w:eastAsia="黑体"/>
        <w:b w:val="0"/>
        <w:i w:val="0"/>
        <w:sz w:val="24"/>
      </w:rPr>
    </w:lvl>
  </w:abstractNum>
  <w:abstractNum w:abstractNumId="1">
    <w:nsid w:val="1AD7F18C"/>
    <w:multiLevelType w:val="singleLevel"/>
    <w:tmpl w:val="1AD7F18C"/>
    <w:lvl w:ilvl="0" w:tentative="0">
      <w:start w:val="1"/>
      <w:numFmt w:val="decimal"/>
      <w:suff w:val="nothing"/>
      <w:lvlText w:val="（%1）"/>
      <w:lvlJc w:val="left"/>
    </w:lvl>
  </w:abstractNum>
  <w:abstractNum w:abstractNumId="2">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3">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0YWYyM2U4NzAwNWZlMzA5OTM4ZmFlYjJkMjcxYjcifQ=="/>
  </w:docVars>
  <w:rsids>
    <w:rsidRoot w:val="00000000"/>
    <w:rsid w:val="1840688C"/>
    <w:rsid w:val="42071F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5">
    <w:name w:val="Body Text"/>
    <w:basedOn w:val="1"/>
    <w:next w:val="6"/>
    <w:qFormat/>
    <w:uiPriority w:val="0"/>
    <w:pPr>
      <w:adjustRightInd w:val="0"/>
      <w:spacing w:after="120" w:line="360" w:lineRule="atLeast"/>
      <w:textAlignment w:val="baseline"/>
    </w:pPr>
    <w:rPr>
      <w:kern w:val="0"/>
      <w:sz w:val="20"/>
      <w:szCs w:val="20"/>
    </w:rPr>
  </w:style>
  <w:style w:type="paragraph" w:customStyle="1" w:styleId="6">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7">
    <w:name w:val="Body Text Indent"/>
    <w:basedOn w:val="1"/>
    <w:next w:val="1"/>
    <w:qFormat/>
    <w:uiPriority w:val="0"/>
    <w:pPr>
      <w:ind w:firstLine="538" w:firstLineChars="192"/>
    </w:pPr>
    <w:rPr>
      <w:sz w:val="28"/>
    </w:rPr>
  </w:style>
  <w:style w:type="paragraph" w:styleId="8">
    <w:name w:val="Body Text First Indent"/>
    <w:basedOn w:val="5"/>
    <w:next w:val="5"/>
    <w:qFormat/>
    <w:uiPriority w:val="0"/>
    <w:pPr>
      <w:widowControl/>
      <w:tabs>
        <w:tab w:val="left" w:pos="0"/>
      </w:tabs>
      <w:spacing w:after="156"/>
      <w:ind w:left="425"/>
      <w:jc w:val="left"/>
    </w:pPr>
    <w:rPr>
      <w:sz w:val="28"/>
      <w:szCs w:val="28"/>
    </w:rPr>
  </w:style>
  <w:style w:type="paragraph" w:styleId="9">
    <w:name w:val="Body Text First Indent 2"/>
    <w:basedOn w:val="7"/>
    <w:next w:val="8"/>
    <w:qFormat/>
    <w:uiPriority w:val="0"/>
    <w:pPr>
      <w:ind w:firstLine="420" w:firstLineChars="200"/>
    </w:pPr>
    <w:rPr>
      <w:rFonts w:ascii="Times New Roman" w:hAnsi="Times New Roman"/>
    </w:rPr>
  </w:style>
  <w:style w:type="character" w:styleId="12">
    <w:name w:val="Hyperlink"/>
    <w:basedOn w:val="11"/>
    <w:semiHidden/>
    <w:unhideWhenUsed/>
    <w:qFormat/>
    <w:uiPriority w:val="99"/>
    <w:rPr>
      <w:color w:val="0026E5" w:themeColor="hyperlink"/>
      <w:u w:val="single"/>
      <w14:textFill>
        <w14:solidFill>
          <w14:schemeClr w14:val="hlink"/>
        </w14:solidFill>
      </w14:textFill>
    </w:rPr>
  </w:style>
  <w:style w:type="paragraph" w:customStyle="1" w:styleId="13">
    <w:name w:val="列出段落1"/>
    <w:basedOn w:val="1"/>
    <w:qFormat/>
    <w:uiPriority w:val="34"/>
    <w:pPr>
      <w:ind w:firstLine="420" w:firstLineChars="200"/>
    </w:pPr>
    <w:rPr>
      <w:rFonts w:ascii="Calibri" w:hAnsi="Calibri"/>
      <w:szCs w:val="22"/>
    </w:rPr>
  </w:style>
  <w:style w:type="paragraph" w:customStyle="1" w:styleId="14">
    <w:name w:val="纯文本1"/>
    <w:basedOn w:val="1"/>
    <w:qFormat/>
    <w:uiPriority w:val="0"/>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9</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2024-09-26T06:56:27Z</dcterms:created>
  <dc:creator>Administrator</dc:creator>
  <cp:lastModifiedBy> </cp:lastModifiedBy>
  <dcterms:modified xsi:type="dcterms:W3CDTF">2024-09-26T07:05:38Z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10694D961F2E4B80A64E22886845B444_12</vt:lpwstr>
  </property>
</Properties>
</file>