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A5EB3">
      <w:pPr>
        <w:spacing w:line="360" w:lineRule="auto"/>
        <w:rPr>
          <w:rFonts w:ascii="宋体" w:hAnsi="宋体"/>
          <w:color w:val="auto"/>
          <w:sz w:val="24"/>
        </w:rPr>
      </w:pPr>
    </w:p>
    <w:p w14:paraId="28A44A3F">
      <w:pPr>
        <w:spacing w:line="360" w:lineRule="auto"/>
        <w:jc w:val="center"/>
        <w:outlineLvl w:val="0"/>
        <w:rPr>
          <w:rFonts w:hint="default" w:ascii="宋体" w:hAnsi="宋体"/>
          <w:b/>
          <w:color w:val="auto"/>
          <w:kern w:val="0"/>
          <w:sz w:val="52"/>
          <w:szCs w:val="52"/>
          <w:u w:val="none"/>
          <w:lang w:val="en-US" w:eastAsia="zh-CN"/>
        </w:rPr>
      </w:pPr>
      <w:r>
        <w:rPr>
          <w:rFonts w:hint="eastAsia" w:ascii="宋体" w:hAnsi="宋体"/>
          <w:b/>
          <w:color w:val="auto"/>
          <w:kern w:val="0"/>
          <w:sz w:val="52"/>
          <w:szCs w:val="52"/>
          <w:u w:val="none"/>
          <w:lang w:val="en-US" w:eastAsia="zh-CN"/>
        </w:rPr>
        <w:t>赣州旅投建设集团有限公司2025年度建筑施工劳务外包服务</w:t>
      </w:r>
    </w:p>
    <w:p w14:paraId="26F7001A">
      <w:pPr>
        <w:pStyle w:val="40"/>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14:paraId="25019AF4">
      <w:pPr>
        <w:pStyle w:val="40"/>
        <w:rPr>
          <w:rFonts w:hint="eastAsia"/>
          <w:color w:val="auto"/>
          <w:lang w:eastAsia="zh-CN"/>
        </w:rPr>
      </w:pPr>
    </w:p>
    <w:p w14:paraId="5975D8A1">
      <w:pPr>
        <w:spacing w:line="360" w:lineRule="auto"/>
        <w:rPr>
          <w:rFonts w:ascii="宋体" w:hAnsi="宋体"/>
          <w:color w:val="auto"/>
          <w:sz w:val="24"/>
        </w:rPr>
      </w:pPr>
    </w:p>
    <w:p w14:paraId="294C667A">
      <w:pPr>
        <w:pStyle w:val="2"/>
        <w:rPr>
          <w:color w:val="auto"/>
        </w:rPr>
      </w:pPr>
    </w:p>
    <w:p w14:paraId="12BD23AB">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17BAC341">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4D297BD5">
      <w:pPr>
        <w:pStyle w:val="2"/>
        <w:rPr>
          <w:rFonts w:ascii="宋体" w:hAnsi="宋体"/>
          <w:color w:val="auto"/>
          <w:sz w:val="24"/>
        </w:rPr>
      </w:pPr>
    </w:p>
    <w:p w14:paraId="566AE176">
      <w:pPr>
        <w:rPr>
          <w:rFonts w:ascii="宋体" w:hAnsi="宋体"/>
          <w:color w:val="auto"/>
          <w:sz w:val="24"/>
        </w:rPr>
      </w:pPr>
    </w:p>
    <w:p w14:paraId="59DDA36E">
      <w:pPr>
        <w:pStyle w:val="2"/>
        <w:rPr>
          <w:rFonts w:ascii="宋体" w:hAnsi="宋体"/>
          <w:color w:val="auto"/>
          <w:sz w:val="24"/>
        </w:rPr>
      </w:pPr>
    </w:p>
    <w:p w14:paraId="3DF3598F">
      <w:pPr>
        <w:pStyle w:val="56"/>
      </w:pPr>
    </w:p>
    <w:p w14:paraId="3468DE6F">
      <w:pPr>
        <w:rPr>
          <w:color w:val="auto"/>
        </w:rPr>
      </w:pPr>
    </w:p>
    <w:p w14:paraId="2053A9C2">
      <w:pPr>
        <w:spacing w:line="360" w:lineRule="auto"/>
        <w:rPr>
          <w:rFonts w:ascii="宋体" w:hAnsi="宋体"/>
          <w:color w:val="auto"/>
          <w:sz w:val="24"/>
        </w:rPr>
      </w:pPr>
    </w:p>
    <w:p w14:paraId="2DD0A0B9">
      <w:pPr>
        <w:keepNext w:val="0"/>
        <w:keepLines w:val="0"/>
        <w:pageBreakBefore w:val="0"/>
        <w:widowControl w:val="0"/>
        <w:kinsoku/>
        <w:wordWrap/>
        <w:overflowPunct/>
        <w:topLinePunct w:val="0"/>
        <w:autoSpaceDE/>
        <w:autoSpaceDN/>
        <w:bidi w:val="0"/>
        <w:snapToGrid/>
        <w:spacing w:line="720" w:lineRule="exact"/>
        <w:ind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b/>
          <w:bCs/>
          <w:color w:val="auto"/>
          <w:w w:val="95"/>
          <w:sz w:val="32"/>
          <w:szCs w:val="32"/>
          <w:u w:val="single"/>
          <w:lang w:val="en-US" w:eastAsia="zh-CN"/>
        </w:rPr>
        <w:t>赣州旅投建设集团有限公司</w:t>
      </w:r>
    </w:p>
    <w:p w14:paraId="04C796E8">
      <w:pPr>
        <w:pStyle w:val="2"/>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eastAsia" w:ascii="宋体" w:hAnsi="宋体"/>
          <w:b/>
          <w:bCs/>
          <w:color w:val="auto"/>
          <w:w w:val="95"/>
          <w:sz w:val="32"/>
          <w:szCs w:val="32"/>
          <w:u w:val="single"/>
          <w:lang w:val="en-US" w:eastAsia="zh-CN"/>
        </w:rPr>
        <w:t>2025</w:t>
      </w:r>
      <w:r>
        <w:rPr>
          <w:rFonts w:hint="eastAsia" w:ascii="宋体" w:hAnsi="宋体"/>
          <w:b/>
          <w:bCs/>
          <w:color w:val="auto"/>
          <w:w w:val="95"/>
          <w:sz w:val="32"/>
          <w:szCs w:val="32"/>
          <w:lang w:val="en-US" w:eastAsia="zh-CN"/>
        </w:rPr>
        <w:t>年</w:t>
      </w:r>
      <w:r>
        <w:rPr>
          <w:rFonts w:hint="eastAsia" w:ascii="宋体" w:hAnsi="宋体"/>
          <w:b/>
          <w:bCs/>
          <w:color w:val="auto"/>
          <w:w w:val="95"/>
          <w:sz w:val="32"/>
          <w:szCs w:val="32"/>
          <w:u w:val="single"/>
          <w:lang w:val="en-US" w:eastAsia="zh-CN"/>
        </w:rPr>
        <w:t>3</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21</w:t>
      </w:r>
      <w:r>
        <w:rPr>
          <w:rFonts w:hint="eastAsia" w:ascii="宋体" w:hAnsi="宋体"/>
          <w:b/>
          <w:bCs/>
          <w:color w:val="auto"/>
          <w:w w:val="95"/>
          <w:sz w:val="32"/>
          <w:szCs w:val="32"/>
          <w:lang w:val="en-US" w:eastAsia="zh-CN"/>
        </w:rPr>
        <w:t>日</w:t>
      </w:r>
    </w:p>
    <w:p w14:paraId="3B4EA3F0">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郭工18770811765</w:t>
      </w:r>
    </w:p>
    <w:p w14:paraId="5D091326">
      <w:pPr>
        <w:spacing w:line="360" w:lineRule="auto"/>
        <w:jc w:val="center"/>
        <w:rPr>
          <w:rFonts w:ascii="宋体" w:hAnsi="宋体"/>
          <w:b/>
          <w:color w:val="auto"/>
          <w:sz w:val="24"/>
        </w:rPr>
      </w:pPr>
    </w:p>
    <w:p w14:paraId="34B93EA1">
      <w:pPr>
        <w:pStyle w:val="4"/>
        <w:numPr>
          <w:ilvl w:val="-1"/>
          <w:numId w:val="0"/>
        </w:numPr>
      </w:pPr>
    </w:p>
    <w:p w14:paraId="2B1DA9B4">
      <w:pPr>
        <w:rPr>
          <w:color w:val="auto"/>
        </w:rPr>
      </w:pPr>
    </w:p>
    <w:p w14:paraId="7554A133">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40180EEE">
          <w:pPr>
            <w:spacing w:before="0" w:beforeLines="0" w:after="0" w:afterLines="0" w:line="240" w:lineRule="auto"/>
            <w:ind w:left="0" w:leftChars="0" w:right="0" w:rightChars="0" w:firstLine="0" w:firstLineChars="0"/>
            <w:jc w:val="center"/>
            <w:rPr>
              <w:color w:val="auto"/>
              <w:sz w:val="36"/>
              <w:szCs w:val="36"/>
            </w:rPr>
          </w:pPr>
          <w:bookmarkStart w:id="0" w:name="_Toc7080"/>
          <w:r>
            <w:rPr>
              <w:rFonts w:ascii="宋体" w:hAnsi="宋体" w:eastAsia="宋体"/>
              <w:color w:val="auto"/>
              <w:sz w:val="36"/>
              <w:szCs w:val="36"/>
            </w:rPr>
            <w:t>目录</w:t>
          </w:r>
        </w:p>
        <w:p w14:paraId="1E33EEAF">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3C463E0A">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2</w:t>
          </w:r>
          <w:r>
            <w:rPr>
              <w:b/>
              <w:color w:val="auto"/>
            </w:rPr>
            <w:fldChar w:fldCharType="end"/>
          </w:r>
          <w:r>
            <w:rPr>
              <w:b/>
              <w:color w:val="auto"/>
            </w:rPr>
            <w:fldChar w:fldCharType="end"/>
          </w:r>
        </w:p>
        <w:p w14:paraId="5CA94247">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3</w:t>
          </w:r>
          <w:r>
            <w:rPr>
              <w:color w:val="auto"/>
            </w:rPr>
            <w:fldChar w:fldCharType="end"/>
          </w:r>
          <w:r>
            <w:rPr>
              <w:color w:val="auto"/>
            </w:rPr>
            <w:fldChar w:fldCharType="end"/>
          </w:r>
        </w:p>
        <w:p w14:paraId="765E1145">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3</w:t>
          </w:r>
          <w:r>
            <w:rPr>
              <w:color w:val="auto"/>
            </w:rPr>
            <w:fldChar w:fldCharType="end"/>
          </w:r>
          <w:r>
            <w:rPr>
              <w:color w:val="auto"/>
            </w:rPr>
            <w:fldChar w:fldCharType="end"/>
          </w:r>
        </w:p>
        <w:p w14:paraId="358B4296">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4</w:t>
          </w:r>
          <w:r>
            <w:rPr>
              <w:color w:val="auto"/>
            </w:rPr>
            <w:fldChar w:fldCharType="end"/>
          </w:r>
          <w:r>
            <w:rPr>
              <w:color w:val="auto"/>
            </w:rPr>
            <w:fldChar w:fldCharType="end"/>
          </w:r>
        </w:p>
        <w:p w14:paraId="116E33F6">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14:paraId="032F600F">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14:paraId="0A283562">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5</w:t>
          </w:r>
          <w:r>
            <w:rPr>
              <w:color w:val="auto"/>
            </w:rPr>
            <w:fldChar w:fldCharType="end"/>
          </w:r>
          <w:r>
            <w:rPr>
              <w:color w:val="auto"/>
            </w:rPr>
            <w:fldChar w:fldCharType="end"/>
          </w:r>
        </w:p>
        <w:p w14:paraId="5B91A8E7">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5</w:t>
          </w:r>
          <w:r>
            <w:rPr>
              <w:color w:val="auto"/>
            </w:rPr>
            <w:fldChar w:fldCharType="end"/>
          </w:r>
          <w:r>
            <w:rPr>
              <w:color w:val="auto"/>
            </w:rPr>
            <w:fldChar w:fldCharType="end"/>
          </w:r>
        </w:p>
        <w:p w14:paraId="736797C7">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5</w:t>
          </w:r>
          <w:r>
            <w:rPr>
              <w:color w:val="auto"/>
            </w:rPr>
            <w:fldChar w:fldCharType="end"/>
          </w:r>
          <w:r>
            <w:rPr>
              <w:color w:val="auto"/>
            </w:rPr>
            <w:fldChar w:fldCharType="end"/>
          </w:r>
        </w:p>
        <w:p w14:paraId="1F2904B1">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5</w:t>
          </w:r>
          <w:r>
            <w:rPr>
              <w:color w:val="auto"/>
            </w:rPr>
            <w:fldChar w:fldCharType="end"/>
          </w:r>
          <w:r>
            <w:rPr>
              <w:color w:val="auto"/>
            </w:rPr>
            <w:fldChar w:fldCharType="end"/>
          </w:r>
        </w:p>
        <w:p w14:paraId="356BB1B3">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6</w:t>
          </w:r>
          <w:r>
            <w:rPr>
              <w:color w:val="auto"/>
            </w:rPr>
            <w:fldChar w:fldCharType="end"/>
          </w:r>
          <w:r>
            <w:rPr>
              <w:color w:val="auto"/>
            </w:rPr>
            <w:fldChar w:fldCharType="end"/>
          </w:r>
        </w:p>
        <w:p w14:paraId="03891736">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14:paraId="18266783">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14:paraId="33EE2CC3">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14:paraId="2602913B">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14:paraId="0AD16E99">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14:paraId="5ED62508">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14:paraId="1BFBC737">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14:paraId="252C7044">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14:paraId="075807F3">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14:paraId="09BDD81F">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14:paraId="5D215D41">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14:paraId="40CF5E00">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14:paraId="045F2FDF">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14:paraId="4ACA19AE">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14:paraId="3003E0DA">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14:paraId="490FE2AD">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14:paraId="4A8E6345">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14:paraId="6202A906">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14:paraId="3099D89D">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17</w:t>
          </w:r>
          <w:r>
            <w:rPr>
              <w:color w:val="auto"/>
            </w:rPr>
            <w:fldChar w:fldCharType="end"/>
          </w:r>
          <w:r>
            <w:rPr>
              <w:color w:val="auto"/>
            </w:rPr>
            <w:fldChar w:fldCharType="end"/>
          </w:r>
        </w:p>
        <w:p w14:paraId="6D292BB8">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23</w:t>
          </w:r>
          <w:r>
            <w:rPr>
              <w:b/>
              <w:color w:val="auto"/>
            </w:rPr>
            <w:fldChar w:fldCharType="end"/>
          </w:r>
          <w:r>
            <w:rPr>
              <w:b/>
              <w:color w:val="auto"/>
            </w:rPr>
            <w:fldChar w:fldCharType="end"/>
          </w:r>
        </w:p>
        <w:p w14:paraId="46E7FA32">
          <w:pPr>
            <w:pStyle w:val="219"/>
            <w:tabs>
              <w:tab w:val="right" w:leader="dot" w:pos="8306"/>
            </w:tabs>
            <w:rPr>
              <w:rFonts w:hint="eastAsia" w:ascii="楷体" w:hAnsi="楷体" w:eastAsia="楷体" w:cs="楷体"/>
              <w:color w:val="auto"/>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_Toc11675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一、询价</w:t>
          </w:r>
          <w:r>
            <w:rPr>
              <w:rFonts w:hint="eastAsia" w:ascii="楷体" w:hAnsi="楷体" w:eastAsia="楷体" w:cs="楷体"/>
              <w:color w:val="auto"/>
            </w:rPr>
            <w:t>响应函</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_Toc11675 \h </w:instrText>
          </w:r>
          <w:r>
            <w:rPr>
              <w:rFonts w:hint="eastAsia" w:ascii="楷体" w:hAnsi="楷体" w:eastAsia="楷体" w:cs="楷体"/>
              <w:color w:val="auto"/>
            </w:rPr>
            <w:fldChar w:fldCharType="separate"/>
          </w:r>
          <w:r>
            <w:rPr>
              <w:rFonts w:hint="eastAsia" w:ascii="楷体" w:hAnsi="楷体" w:eastAsia="楷体" w:cs="楷体"/>
              <w:color w:val="auto"/>
            </w:rPr>
            <w:t>24</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6270F502">
          <w:pPr>
            <w:pStyle w:val="219"/>
            <w:tabs>
              <w:tab w:val="right" w:leader="dot" w:pos="8306"/>
            </w:tabs>
            <w:rPr>
              <w:rFonts w:hint="eastAsia" w:ascii="楷体" w:hAnsi="楷体" w:eastAsia="楷体" w:cs="楷体"/>
              <w:color w:val="auto"/>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_Toc25357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二、</w:t>
          </w:r>
          <w:r>
            <w:rPr>
              <w:rFonts w:hint="eastAsia" w:ascii="楷体" w:hAnsi="楷体" w:eastAsia="楷体" w:cs="楷体"/>
              <w:color w:val="auto"/>
            </w:rPr>
            <w:t>报价表</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_Toc25357 \h </w:instrText>
          </w:r>
          <w:r>
            <w:rPr>
              <w:rFonts w:hint="eastAsia" w:ascii="楷体" w:hAnsi="楷体" w:eastAsia="楷体" w:cs="楷体"/>
              <w:color w:val="auto"/>
            </w:rPr>
            <w:fldChar w:fldCharType="separate"/>
          </w:r>
          <w:r>
            <w:rPr>
              <w:rFonts w:hint="eastAsia" w:ascii="楷体" w:hAnsi="楷体" w:eastAsia="楷体" w:cs="楷体"/>
              <w:color w:val="auto"/>
            </w:rPr>
            <w:t>25</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2BC17ABF">
          <w:pPr>
            <w:pStyle w:val="219"/>
            <w:tabs>
              <w:tab w:val="right" w:leader="dot" w:pos="8306"/>
            </w:tabs>
            <w:rPr>
              <w:rFonts w:hint="eastAsia" w:ascii="楷体" w:hAnsi="楷体" w:eastAsia="楷体" w:cs="楷体"/>
              <w:color w:val="auto"/>
              <w:lang w:val="en-US" w:eastAsia="zh-CN"/>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_Toc26748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三</w:t>
          </w:r>
          <w:r>
            <w:rPr>
              <w:rFonts w:hint="eastAsia" w:ascii="楷体" w:hAnsi="楷体" w:eastAsia="楷体" w:cs="楷体"/>
              <w:color w:val="auto"/>
            </w:rPr>
            <w:t>、</w:t>
          </w:r>
          <w:r>
            <w:rPr>
              <w:rFonts w:hint="eastAsia" w:ascii="楷体" w:hAnsi="楷体" w:eastAsia="楷体" w:cs="楷体"/>
              <w:color w:val="auto"/>
              <w:lang w:val="en-US" w:eastAsia="zh-CN"/>
            </w:rPr>
            <w:t>业绩证明材料</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_Toc26748 \h </w:instrText>
          </w:r>
          <w:r>
            <w:rPr>
              <w:rFonts w:hint="eastAsia" w:ascii="楷体" w:hAnsi="楷体" w:eastAsia="楷体" w:cs="楷体"/>
              <w:color w:val="auto"/>
            </w:rPr>
            <w:fldChar w:fldCharType="separate"/>
          </w:r>
          <w:r>
            <w:rPr>
              <w:rFonts w:hint="eastAsia" w:ascii="楷体" w:hAnsi="楷体" w:eastAsia="楷体" w:cs="楷体"/>
              <w:color w:val="auto"/>
            </w:rPr>
            <w:t>26</w:t>
          </w:r>
          <w:r>
            <w:rPr>
              <w:rFonts w:hint="eastAsia" w:ascii="楷体" w:hAnsi="楷体" w:eastAsia="楷体" w:cs="楷体"/>
              <w:color w:val="auto"/>
            </w:rPr>
            <w:fldChar w:fldCharType="end"/>
          </w:r>
        </w:p>
        <w:p w14:paraId="71A2905B">
          <w:pPr>
            <w:pStyle w:val="219"/>
            <w:tabs>
              <w:tab w:val="right" w:leader="dot" w:pos="8306"/>
            </w:tabs>
            <w:rPr>
              <w:rFonts w:hint="eastAsia" w:ascii="楷体" w:hAnsi="楷体" w:eastAsia="楷体" w:cs="楷体"/>
              <w:color w:val="auto"/>
            </w:rPr>
          </w:pPr>
          <w:r>
            <w:rPr>
              <w:rFonts w:hint="eastAsia" w:ascii="楷体" w:hAnsi="楷体" w:eastAsia="楷体" w:cs="楷体"/>
              <w:color w:val="auto"/>
              <w:lang w:val="en-US" w:eastAsia="zh-CN"/>
            </w:rPr>
            <w:t>四、</w:t>
          </w:r>
          <w:r>
            <w:rPr>
              <w:rFonts w:hint="eastAsia" w:ascii="楷体" w:hAnsi="楷体" w:eastAsia="楷体" w:cs="楷体"/>
              <w:color w:val="auto"/>
            </w:rPr>
            <w:t>法定代表人授权书</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_Toc26748 \h </w:instrText>
          </w:r>
          <w:r>
            <w:rPr>
              <w:rFonts w:hint="eastAsia" w:ascii="楷体" w:hAnsi="楷体" w:eastAsia="楷体" w:cs="楷体"/>
              <w:color w:val="auto"/>
            </w:rPr>
            <w:fldChar w:fldCharType="separate"/>
          </w:r>
          <w:r>
            <w:rPr>
              <w:rFonts w:hint="eastAsia" w:ascii="楷体" w:hAnsi="楷体" w:eastAsia="楷体" w:cs="楷体"/>
              <w:color w:val="auto"/>
            </w:rPr>
            <w:t>26</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3553E0F5">
          <w:pPr>
            <w:pStyle w:val="219"/>
            <w:tabs>
              <w:tab w:val="right" w:leader="dot" w:pos="8306"/>
            </w:tabs>
            <w:rPr>
              <w:rFonts w:hint="eastAsia" w:ascii="楷体" w:hAnsi="楷体" w:eastAsia="楷体" w:cs="楷体"/>
              <w:color w:val="auto"/>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_Toc14413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五、</w:t>
          </w:r>
          <w:r>
            <w:rPr>
              <w:rFonts w:hint="eastAsia" w:ascii="楷体" w:hAnsi="楷体" w:eastAsia="楷体" w:cs="楷体"/>
              <w:color w:val="auto"/>
            </w:rPr>
            <w:t>商务条款响应/偏离表格式</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_Toc14413 \h </w:instrText>
          </w:r>
          <w:r>
            <w:rPr>
              <w:rFonts w:hint="eastAsia" w:ascii="楷体" w:hAnsi="楷体" w:eastAsia="楷体" w:cs="楷体"/>
              <w:color w:val="auto"/>
            </w:rPr>
            <w:fldChar w:fldCharType="separate"/>
          </w:r>
          <w:r>
            <w:rPr>
              <w:rFonts w:hint="eastAsia" w:ascii="楷体" w:hAnsi="楷体" w:eastAsia="楷体" w:cs="楷体"/>
              <w:color w:val="auto"/>
            </w:rPr>
            <w:t>29</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1FC58FA6">
          <w:pPr>
            <w:pStyle w:val="219"/>
            <w:tabs>
              <w:tab w:val="right" w:leader="dot" w:pos="8306"/>
            </w:tabs>
            <w:rPr>
              <w:rFonts w:hint="eastAsia" w:ascii="楷体" w:hAnsi="楷体" w:eastAsia="楷体" w:cs="楷体"/>
              <w:color w:val="auto"/>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_Toc15800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六、</w:t>
          </w:r>
          <w:r>
            <w:rPr>
              <w:rFonts w:hint="eastAsia" w:ascii="楷体" w:hAnsi="楷体" w:eastAsia="楷体" w:cs="楷体"/>
              <w:color w:val="auto"/>
            </w:rPr>
            <w:t>技术要求响应/偏离表格式</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_Toc15800 \h </w:instrText>
          </w:r>
          <w:r>
            <w:rPr>
              <w:rFonts w:hint="eastAsia" w:ascii="楷体" w:hAnsi="楷体" w:eastAsia="楷体" w:cs="楷体"/>
              <w:color w:val="auto"/>
            </w:rPr>
            <w:fldChar w:fldCharType="separate"/>
          </w:r>
          <w:r>
            <w:rPr>
              <w:rFonts w:hint="eastAsia" w:ascii="楷体" w:hAnsi="楷体" w:eastAsia="楷体" w:cs="楷体"/>
              <w:color w:val="auto"/>
            </w:rPr>
            <w:t>30</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365FA427">
          <w:pPr>
            <w:pStyle w:val="219"/>
            <w:tabs>
              <w:tab w:val="right" w:leader="dot" w:pos="8306"/>
            </w:tabs>
            <w:rPr>
              <w:rFonts w:hint="eastAsia" w:ascii="楷体" w:hAnsi="楷体" w:eastAsia="楷体" w:cs="楷体"/>
              <w:color w:val="auto"/>
            </w:rPr>
          </w:pPr>
          <w:r>
            <w:rPr>
              <w:rFonts w:hint="eastAsia" w:ascii="楷体" w:hAnsi="楷体" w:eastAsia="楷体" w:cs="楷体"/>
              <w:color w:val="auto"/>
            </w:rPr>
            <w:fldChar w:fldCharType="begin"/>
          </w:r>
          <w:r>
            <w:rPr>
              <w:rFonts w:hint="eastAsia" w:ascii="楷体" w:hAnsi="楷体" w:eastAsia="楷体" w:cs="楷体"/>
              <w:color w:val="auto"/>
            </w:rPr>
            <w:instrText xml:space="preserve"> HYPERLINK \l _Toc4974 </w:instrText>
          </w:r>
          <w:r>
            <w:rPr>
              <w:rFonts w:hint="eastAsia" w:ascii="楷体" w:hAnsi="楷体" w:eastAsia="楷体" w:cs="楷体"/>
              <w:color w:val="auto"/>
            </w:rPr>
            <w:fldChar w:fldCharType="separate"/>
          </w:r>
          <w:r>
            <w:rPr>
              <w:rFonts w:hint="eastAsia" w:ascii="楷体" w:hAnsi="楷体" w:eastAsia="楷体" w:cs="楷体"/>
              <w:color w:val="auto"/>
              <w:lang w:val="en-US" w:eastAsia="zh-CN"/>
            </w:rPr>
            <w:t>七、</w:t>
          </w:r>
          <w:r>
            <w:rPr>
              <w:rFonts w:hint="eastAsia" w:ascii="楷体" w:hAnsi="楷体" w:eastAsia="楷体" w:cs="楷体"/>
              <w:color w:val="auto"/>
            </w:rPr>
            <w:t>资格证明材料</w:t>
          </w:r>
          <w:r>
            <w:rPr>
              <w:rFonts w:hint="eastAsia" w:ascii="楷体" w:hAnsi="楷体" w:eastAsia="楷体" w:cs="楷体"/>
              <w:color w:val="auto"/>
            </w:rPr>
            <w:tab/>
          </w:r>
          <w:r>
            <w:rPr>
              <w:rFonts w:hint="eastAsia" w:ascii="楷体" w:hAnsi="楷体" w:eastAsia="楷体" w:cs="楷体"/>
              <w:color w:val="auto"/>
            </w:rPr>
            <w:fldChar w:fldCharType="begin"/>
          </w:r>
          <w:r>
            <w:rPr>
              <w:rFonts w:hint="eastAsia" w:ascii="楷体" w:hAnsi="楷体" w:eastAsia="楷体" w:cs="楷体"/>
              <w:color w:val="auto"/>
            </w:rPr>
            <w:instrText xml:space="preserve"> PAGEREF _Toc4974 \h </w:instrText>
          </w:r>
          <w:r>
            <w:rPr>
              <w:rFonts w:hint="eastAsia" w:ascii="楷体" w:hAnsi="楷体" w:eastAsia="楷体" w:cs="楷体"/>
              <w:color w:val="auto"/>
            </w:rPr>
            <w:fldChar w:fldCharType="separate"/>
          </w:r>
          <w:r>
            <w:rPr>
              <w:rFonts w:hint="eastAsia" w:ascii="楷体" w:hAnsi="楷体" w:eastAsia="楷体" w:cs="楷体"/>
              <w:color w:val="auto"/>
            </w:rPr>
            <w:t>31</w:t>
          </w:r>
          <w:r>
            <w:rPr>
              <w:rFonts w:hint="eastAsia" w:ascii="楷体" w:hAnsi="楷体" w:eastAsia="楷体" w:cs="楷体"/>
              <w:color w:val="auto"/>
            </w:rPr>
            <w:fldChar w:fldCharType="end"/>
          </w:r>
          <w:r>
            <w:rPr>
              <w:rFonts w:hint="eastAsia" w:ascii="楷体" w:hAnsi="楷体" w:eastAsia="楷体" w:cs="楷体"/>
              <w:color w:val="auto"/>
            </w:rPr>
            <w:fldChar w:fldCharType="end"/>
          </w:r>
        </w:p>
        <w:p w14:paraId="4F4BA561">
          <w:pPr>
            <w:pStyle w:val="219"/>
            <w:tabs>
              <w:tab w:val="right" w:leader="dot" w:pos="8306"/>
            </w:tabs>
            <w:ind w:firstLine="400" w:firstLineChars="200"/>
            <w:rPr>
              <w:rFonts w:hint="eastAsia" w:ascii="楷体" w:hAnsi="楷体" w:eastAsia="楷体" w:cs="楷体"/>
              <w:color w:val="auto"/>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rFonts w:hint="eastAsia" w:ascii="楷体" w:hAnsi="楷体" w:eastAsia="楷体" w:cs="楷体"/>
              <w:b w:val="0"/>
              <w:bCs/>
              <w:color w:val="auto"/>
            </w:rPr>
            <w:tab/>
          </w: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PAGEREF _Toc14818 \h </w:instrText>
          </w:r>
          <w:r>
            <w:rPr>
              <w:rFonts w:hint="eastAsia" w:ascii="楷体" w:hAnsi="楷体" w:eastAsia="楷体" w:cs="楷体"/>
              <w:b w:val="0"/>
              <w:bCs/>
              <w:color w:val="auto"/>
            </w:rPr>
            <w:fldChar w:fldCharType="separate"/>
          </w:r>
          <w:r>
            <w:rPr>
              <w:rFonts w:hint="eastAsia" w:ascii="楷体" w:hAnsi="楷体" w:eastAsia="楷体" w:cs="楷体"/>
              <w:b w:val="0"/>
              <w:bCs/>
              <w:color w:val="auto"/>
            </w:rPr>
            <w:t>33</w:t>
          </w:r>
          <w:r>
            <w:rPr>
              <w:rFonts w:hint="eastAsia" w:ascii="楷体" w:hAnsi="楷体" w:eastAsia="楷体" w:cs="楷体"/>
              <w:b w:val="0"/>
              <w:bCs/>
              <w:color w:val="auto"/>
            </w:rPr>
            <w:fldChar w:fldCharType="end"/>
          </w:r>
          <w:r>
            <w:rPr>
              <w:rFonts w:hint="eastAsia" w:ascii="楷体" w:hAnsi="楷体" w:eastAsia="楷体" w:cs="楷体"/>
              <w:b w:val="0"/>
              <w:bCs/>
              <w:color w:val="auto"/>
            </w:rPr>
            <w:fldChar w:fldCharType="end"/>
          </w:r>
        </w:p>
        <w:p w14:paraId="33B41F4B">
          <w:pPr>
            <w:pStyle w:val="219"/>
            <w:tabs>
              <w:tab w:val="right" w:leader="dot" w:pos="8306"/>
            </w:tabs>
            <w:ind w:firstLine="400" w:firstLineChars="200"/>
            <w:rPr>
              <w:color w:val="auto"/>
            </w:rPr>
          </w:pP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HYPERLINK \l _Toc14818 </w:instrText>
          </w:r>
          <w:r>
            <w:rPr>
              <w:rFonts w:hint="eastAsia" w:ascii="楷体" w:hAnsi="楷体" w:eastAsia="楷体" w:cs="楷体"/>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rFonts w:hint="eastAsia" w:ascii="楷体" w:hAnsi="楷体" w:eastAsia="楷体" w:cs="楷体"/>
              <w:b w:val="0"/>
              <w:bCs/>
              <w:color w:val="auto"/>
            </w:rPr>
            <w:tab/>
          </w:r>
          <w:r>
            <w:rPr>
              <w:rFonts w:hint="eastAsia" w:ascii="楷体" w:hAnsi="楷体" w:eastAsia="楷体" w:cs="楷体"/>
              <w:b w:val="0"/>
              <w:bCs/>
              <w:color w:val="auto"/>
            </w:rPr>
            <w:fldChar w:fldCharType="begin"/>
          </w:r>
          <w:r>
            <w:rPr>
              <w:rFonts w:hint="eastAsia" w:ascii="楷体" w:hAnsi="楷体" w:eastAsia="楷体" w:cs="楷体"/>
              <w:b w:val="0"/>
              <w:bCs/>
              <w:color w:val="auto"/>
            </w:rPr>
            <w:instrText xml:space="preserve"> PAGEREF _Toc14818 \h </w:instrText>
          </w:r>
          <w:r>
            <w:rPr>
              <w:rFonts w:hint="eastAsia" w:ascii="楷体" w:hAnsi="楷体" w:eastAsia="楷体" w:cs="楷体"/>
              <w:b w:val="0"/>
              <w:bCs/>
              <w:color w:val="auto"/>
            </w:rPr>
            <w:fldChar w:fldCharType="separate"/>
          </w:r>
          <w:r>
            <w:rPr>
              <w:rFonts w:hint="eastAsia" w:ascii="楷体" w:hAnsi="楷体" w:eastAsia="楷体" w:cs="楷体"/>
              <w:b w:val="0"/>
              <w:bCs/>
              <w:color w:val="auto"/>
            </w:rPr>
            <w:t>33</w:t>
          </w:r>
          <w:r>
            <w:rPr>
              <w:rFonts w:hint="eastAsia" w:ascii="楷体" w:hAnsi="楷体" w:eastAsia="楷体" w:cs="楷体"/>
              <w:b w:val="0"/>
              <w:bCs/>
              <w:color w:val="auto"/>
            </w:rPr>
            <w:fldChar w:fldCharType="end"/>
          </w:r>
          <w:r>
            <w:rPr>
              <w:rFonts w:hint="eastAsia" w:ascii="楷体" w:hAnsi="楷体" w:eastAsia="楷体" w:cs="楷体"/>
              <w:b w:val="0"/>
              <w:bCs/>
              <w:color w:val="auto"/>
            </w:rPr>
            <w:fldChar w:fldCharType="end"/>
          </w:r>
        </w:p>
        <w:p w14:paraId="0022C10D">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7</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3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询价保证金</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33</w:t>
          </w:r>
          <w:r>
            <w:rPr>
              <w:b w:val="0"/>
              <w:bCs/>
              <w:color w:val="auto"/>
            </w:rPr>
            <w:fldChar w:fldCharType="end"/>
          </w:r>
          <w:r>
            <w:rPr>
              <w:b w:val="0"/>
              <w:bCs/>
              <w:color w:val="auto"/>
            </w:rPr>
            <w:fldChar w:fldCharType="end"/>
          </w:r>
        </w:p>
        <w:p w14:paraId="3575FE84">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格式7-4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34</w:t>
          </w:r>
          <w:r>
            <w:rPr>
              <w:b w:val="0"/>
              <w:bCs/>
              <w:color w:val="auto"/>
            </w:rPr>
            <w:fldChar w:fldCharType="end"/>
          </w:r>
          <w:r>
            <w:rPr>
              <w:b w:val="0"/>
              <w:bCs/>
              <w:color w:val="auto"/>
            </w:rPr>
            <w:fldChar w:fldCharType="end"/>
          </w:r>
        </w:p>
        <w:p w14:paraId="6C2C5FDB">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格式7-5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35</w:t>
          </w:r>
          <w:r>
            <w:rPr>
              <w:b w:val="0"/>
              <w:bCs/>
              <w:color w:val="auto"/>
            </w:rPr>
            <w:fldChar w:fldCharType="end"/>
          </w:r>
          <w:r>
            <w:rPr>
              <w:b w:val="0"/>
              <w:bCs/>
              <w:color w:val="auto"/>
            </w:rPr>
            <w:fldChar w:fldCharType="end"/>
          </w:r>
        </w:p>
        <w:p w14:paraId="4A0A7714">
          <w:pPr>
            <w:rPr>
              <w:color w:val="auto"/>
            </w:rPr>
          </w:pPr>
          <w:r>
            <w:rPr>
              <w:b/>
              <w:color w:val="auto"/>
            </w:rPr>
            <w:fldChar w:fldCharType="end"/>
          </w:r>
        </w:p>
      </w:sdtContent>
    </w:sdt>
    <w:p w14:paraId="39E72C87">
      <w:pPr>
        <w:spacing w:line="360" w:lineRule="auto"/>
        <w:jc w:val="center"/>
        <w:outlineLvl w:val="0"/>
        <w:rPr>
          <w:rFonts w:hint="default" w:ascii="Times New Roman" w:hAnsi="Times New Roman" w:eastAsia="黑体"/>
          <w:bCs/>
          <w:color w:val="auto"/>
          <w:sz w:val="32"/>
          <w:szCs w:val="32"/>
          <w:lang w:val="en-US" w:eastAsia="zh-CN"/>
        </w:rPr>
      </w:pPr>
      <w:bookmarkStart w:id="1"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0"/>
      <w:bookmarkEnd w:id="1"/>
      <w:r>
        <w:rPr>
          <w:rFonts w:hint="eastAsia" w:ascii="Times New Roman" w:hAnsi="黑体" w:eastAsia="黑体"/>
          <w:b/>
          <w:bCs w:val="0"/>
          <w:color w:val="auto"/>
          <w:sz w:val="32"/>
          <w:szCs w:val="32"/>
          <w:lang w:val="en-US" w:eastAsia="zh-CN"/>
        </w:rPr>
        <w:t>询价须知</w:t>
      </w:r>
    </w:p>
    <w:p w14:paraId="30D933DC">
      <w:pPr>
        <w:keepNext w:val="0"/>
        <w:keepLines w:val="0"/>
        <w:pageBreakBefore w:val="0"/>
        <w:kinsoku/>
        <w:wordWrap/>
        <w:overflowPunct/>
        <w:topLinePunct w:val="0"/>
        <w:autoSpaceDE/>
        <w:autoSpaceDN/>
        <w:bidi w:val="0"/>
        <w:snapToGrid/>
        <w:spacing w:line="520" w:lineRule="exact"/>
        <w:ind w:left="0" w:leftChars="0"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eastAsia" w:ascii="仿宋_GB2312" w:hAnsi="仿宋_GB2312" w:eastAsia="仿宋_GB2312" w:cs="仿宋_GB2312"/>
          <w:color w:val="auto"/>
          <w:sz w:val="32"/>
          <w:szCs w:val="32"/>
          <w:u w:val="none"/>
          <w:lang w:val="en-US" w:eastAsia="zh-CN"/>
        </w:rPr>
        <w:t>赣州旅投建设集团有限公司2025年度建筑施工劳务外包服务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14:paraId="5178DF63">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2" w:name="_Toc27893"/>
      <w:bookmarkStart w:id="3" w:name="_Toc22537"/>
      <w:bookmarkStart w:id="4" w:name="_Toc31733"/>
      <w:bookmarkStart w:id="5" w:name="_Toc31894"/>
      <w:bookmarkStart w:id="6"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2"/>
      <w:bookmarkEnd w:id="3"/>
      <w:bookmarkEnd w:id="4"/>
      <w:bookmarkEnd w:id="5"/>
    </w:p>
    <w:p w14:paraId="40AABF18">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14:paraId="316CF460">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2.项目名称：</w:t>
      </w:r>
      <w:bookmarkEnd w:id="6"/>
      <w:r>
        <w:rPr>
          <w:rFonts w:hint="eastAsia" w:ascii="仿宋_GB2312" w:hAnsi="仿宋_GB2312" w:eastAsia="仿宋_GB2312" w:cs="仿宋_GB2312"/>
          <w:color w:val="auto"/>
          <w:sz w:val="32"/>
          <w:szCs w:val="32"/>
          <w:u w:val="none"/>
          <w:lang w:val="en-US" w:eastAsia="zh-CN"/>
        </w:rPr>
        <w:t>赣州旅投建设集团有限公司2025年度建筑施工劳务外包服务</w:t>
      </w:r>
    </w:p>
    <w:p w14:paraId="5397373B">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none"/>
          <w:lang w:val="en-US" w:eastAsia="zh-CN"/>
        </w:rPr>
        <w:t>3.项目概况：为满足旅建公司承接零星维修、应急赶工施工业务需求，提高公司业务承接能力和管理水平，现拟通过公开询价方</w:t>
      </w:r>
      <w:r>
        <w:rPr>
          <w:rFonts w:hint="eastAsia" w:ascii="仿宋_GB2312" w:hAnsi="仿宋_GB2312" w:eastAsia="仿宋_GB2312" w:cs="仿宋_GB2312"/>
          <w:color w:val="auto"/>
          <w:sz w:val="32"/>
          <w:szCs w:val="32"/>
          <w:lang w:val="en-US" w:eastAsia="zh-CN"/>
        </w:rPr>
        <w:t>式选取一家2025年度建筑施工劳务外包服务单</w:t>
      </w:r>
      <w:r>
        <w:rPr>
          <w:rFonts w:hint="eastAsia" w:ascii="仿宋_GB2312" w:hAnsi="仿宋_GB2312" w:eastAsia="仿宋_GB2312" w:cs="仿宋_GB2312"/>
          <w:color w:val="auto"/>
          <w:sz w:val="32"/>
          <w:szCs w:val="32"/>
          <w:u w:val="none"/>
          <w:lang w:val="en-US" w:eastAsia="zh-CN"/>
        </w:rPr>
        <w:t xml:space="preserve">位。 </w:t>
      </w:r>
      <w:r>
        <w:rPr>
          <w:rFonts w:hint="eastAsia" w:ascii="仿宋_GB2312" w:hAnsi="仿宋_GB2312" w:eastAsia="仿宋_GB2312" w:cs="仿宋_GB2312"/>
          <w:color w:val="auto"/>
          <w:sz w:val="32"/>
          <w:szCs w:val="32"/>
          <w:lang w:val="en-US" w:eastAsia="zh-CN"/>
        </w:rPr>
        <w:t xml:space="preserve">                           </w:t>
      </w:r>
    </w:p>
    <w:p w14:paraId="703149DD">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kern w:val="2"/>
          <w:sz w:val="32"/>
          <w:szCs w:val="32"/>
          <w:lang w:val="en-US" w:eastAsia="zh-CN"/>
        </w:rPr>
        <w:t>12个月（自2025年3月28日至2026年3月28日止）或劳务外包服务费用满80万元，以先到达为准，合同自动终止。</w:t>
      </w:r>
    </w:p>
    <w:p w14:paraId="472B9E5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lang w:val="en-US" w:eastAsia="zh-CN"/>
        </w:rPr>
        <w:t>负责为旅建公司提供建筑劳务外包服务，提供的劳务人员包括但不限于泥水工、木工、瓦工、油漆工、木油漆工、水电工、弱电安装调试工、电焊工、钢筋工、杂工、小工、综合维修工、清洁工、上门综合维修等。供应商必须按有关规定为劳务人员缴纳相应保险，必须购买雇主责任险，赔偿限额不小于50万，必须建立劳务人员管理制度。</w:t>
      </w:r>
    </w:p>
    <w:p w14:paraId="331178B2">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u w:val="none"/>
          <w:lang w:val="en-US" w:eastAsia="zh-CN"/>
        </w:rPr>
      </w:pPr>
      <w:bookmarkStart w:id="7" w:name="_Toc28481"/>
      <w:r>
        <w:rPr>
          <w:rFonts w:hint="eastAsia" w:ascii="仿宋_GB2312" w:hAnsi="仿宋_GB2312" w:eastAsia="仿宋_GB2312" w:cs="仿宋_GB2312"/>
          <w:color w:val="auto"/>
          <w:sz w:val="32"/>
          <w:szCs w:val="32"/>
          <w:u w:val="none"/>
          <w:lang w:val="en-US" w:eastAsia="zh-CN"/>
        </w:rPr>
        <w:t>6.最</w:t>
      </w:r>
      <w:r>
        <w:rPr>
          <w:rFonts w:hint="eastAsia" w:ascii="仿宋_GB2312" w:hAnsi="仿宋_GB2312" w:eastAsia="仿宋_GB2312" w:cs="仿宋_GB2312"/>
          <w:color w:val="auto"/>
          <w:kern w:val="0"/>
          <w:sz w:val="32"/>
          <w:szCs w:val="32"/>
          <w:highlight w:val="none"/>
          <w:u w:val="none"/>
          <w:shd w:val="clear" w:color="auto" w:fill="FFFFFF"/>
          <w:lang w:val="en-US" w:eastAsia="zh-CN" w:bidi="ar"/>
        </w:rPr>
        <w:t>高含税限价：</w:t>
      </w:r>
      <w:bookmarkEnd w:id="7"/>
      <w:r>
        <w:rPr>
          <w:rFonts w:hint="eastAsia" w:ascii="仿宋_GB2312" w:hAnsi="仿宋_GB2312" w:eastAsia="仿宋_GB2312" w:cs="仿宋_GB2312"/>
          <w:b w:val="0"/>
          <w:bCs w:val="0"/>
          <w:color w:val="auto"/>
          <w:kern w:val="0"/>
          <w:sz w:val="32"/>
          <w:szCs w:val="32"/>
          <w:highlight w:val="none"/>
          <w:shd w:val="clear" w:color="auto" w:fill="FFFFFF"/>
          <w:lang w:val="en-US" w:eastAsia="zh-CN" w:bidi="ar"/>
        </w:rPr>
        <w:t>管理费费率</w:t>
      </w:r>
      <w:r>
        <w:rPr>
          <w:rFonts w:hint="eastAsia" w:ascii="仿宋_GB2312" w:hAnsi="仿宋_GB2312" w:eastAsia="仿宋_GB2312" w:cs="仿宋_GB2312"/>
          <w:color w:val="auto"/>
          <w:kern w:val="0"/>
          <w:sz w:val="32"/>
          <w:szCs w:val="32"/>
          <w:highlight w:val="none"/>
          <w:u w:val="none"/>
          <w:shd w:val="clear" w:color="auto" w:fill="FFFFFF"/>
          <w:lang w:val="en-US" w:eastAsia="zh-CN" w:bidi="ar"/>
        </w:rPr>
        <w:t>13%，</w:t>
      </w:r>
      <w:r>
        <w:rPr>
          <w:rStyle w:val="43"/>
          <w:rFonts w:hint="eastAsia" w:ascii="仿宋_GB2312" w:hAnsi="仿宋_GB2312" w:eastAsia="仿宋_GB2312" w:cs="仿宋_GB2312"/>
          <w:i w:val="0"/>
          <w:iCs w:val="0"/>
          <w:caps w:val="0"/>
          <w:color w:val="auto"/>
          <w:spacing w:val="0"/>
          <w:kern w:val="0"/>
          <w:sz w:val="32"/>
          <w:szCs w:val="32"/>
          <w:highlight w:val="none"/>
          <w:shd w:val="clear" w:color="auto" w:fill="FFFFFF"/>
          <w:lang w:val="en-US" w:eastAsia="zh-CN" w:bidi="ar"/>
        </w:rPr>
        <w:t>供应商</w:t>
      </w:r>
      <w:r>
        <w:rPr>
          <w:rStyle w:val="47"/>
          <w:rFonts w:hint="eastAsia" w:ascii="仿宋_GB2312" w:hAnsi="仿宋_GB2312" w:eastAsia="仿宋_GB2312" w:cs="仿宋_GB2312"/>
          <w:i w:val="0"/>
          <w:iCs w:val="0"/>
          <w:caps w:val="0"/>
          <w:color w:val="auto"/>
          <w:spacing w:val="0"/>
          <w:kern w:val="0"/>
          <w:sz w:val="32"/>
          <w:szCs w:val="32"/>
          <w:highlight w:val="none"/>
          <w:shd w:val="clear" w:color="auto" w:fill="auto"/>
          <w:lang w:bidi="ar"/>
        </w:rPr>
        <w:t>的</w:t>
      </w:r>
      <w:r>
        <w:rPr>
          <w:rFonts w:hint="eastAsia" w:ascii="仿宋_GB2312" w:hAnsi="仿宋_GB2312" w:eastAsia="仿宋_GB2312" w:cs="仿宋_GB2312"/>
          <w:i w:val="0"/>
          <w:iCs w:val="0"/>
          <w:caps w:val="0"/>
          <w:color w:val="auto"/>
          <w:spacing w:val="0"/>
          <w:kern w:val="0"/>
          <w:sz w:val="32"/>
          <w:szCs w:val="32"/>
          <w:highlight w:val="none"/>
          <w:shd w:val="clear" w:color="auto" w:fill="FFFFFF"/>
          <w:lang w:val="en-US" w:eastAsia="zh-CN" w:bidi="ar"/>
        </w:rPr>
        <w:t>含税</w:t>
      </w:r>
      <w:r>
        <w:rPr>
          <w:rStyle w:val="47"/>
          <w:rFonts w:hint="eastAsia" w:ascii="仿宋_GB2312" w:hAnsi="仿宋_GB2312" w:eastAsia="仿宋_GB2312" w:cs="仿宋_GB2312"/>
          <w:i w:val="0"/>
          <w:iCs w:val="0"/>
          <w:caps w:val="0"/>
          <w:color w:val="auto"/>
          <w:spacing w:val="0"/>
          <w:kern w:val="0"/>
          <w:sz w:val="32"/>
          <w:szCs w:val="32"/>
          <w:highlight w:val="none"/>
          <w:shd w:val="clear" w:color="auto" w:fill="auto"/>
          <w:lang w:bidi="ar"/>
        </w:rPr>
        <w:t>报价不得高于</w:t>
      </w:r>
      <w:r>
        <w:rPr>
          <w:rStyle w:val="47"/>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最高含税限价</w:t>
      </w:r>
      <w:r>
        <w:rPr>
          <w:rStyle w:val="47"/>
          <w:rFonts w:hint="eastAsia" w:ascii="仿宋_GB2312" w:hAnsi="仿宋_GB2312" w:eastAsia="仿宋_GB2312" w:cs="仿宋_GB2312"/>
          <w:i w:val="0"/>
          <w:iCs w:val="0"/>
          <w:caps w:val="0"/>
          <w:color w:val="auto"/>
          <w:spacing w:val="0"/>
          <w:kern w:val="0"/>
          <w:sz w:val="32"/>
          <w:szCs w:val="32"/>
          <w:highlight w:val="none"/>
          <w:shd w:val="clear" w:color="auto" w:fill="auto"/>
          <w:lang w:bidi="ar"/>
        </w:rPr>
        <w:t>,</w:t>
      </w:r>
      <w:r>
        <w:rPr>
          <w:rStyle w:val="47"/>
          <w:rFonts w:hint="eastAsia" w:ascii="仿宋_GB2312" w:hAnsi="仿宋_GB2312" w:eastAsia="仿宋_GB2312" w:cs="仿宋_GB2312"/>
          <w:i w:val="0"/>
          <w:iCs w:val="0"/>
          <w:caps w:val="0"/>
          <w:color w:val="auto"/>
          <w:spacing w:val="0"/>
          <w:kern w:val="0"/>
          <w:sz w:val="32"/>
          <w:szCs w:val="32"/>
          <w:highlight w:val="none"/>
          <w:shd w:val="clear" w:color="auto" w:fill="auto"/>
          <w:lang w:val="en-US" w:eastAsia="zh-CN" w:bidi="ar"/>
        </w:rPr>
        <w:t>否则其</w:t>
      </w:r>
      <w:r>
        <w:rPr>
          <w:rFonts w:hint="eastAsia" w:ascii="仿宋_GB2312" w:hAnsi="仿宋_GB2312" w:eastAsia="仿宋_GB2312" w:cs="仿宋_GB2312"/>
          <w:color w:val="auto"/>
          <w:sz w:val="32"/>
          <w:szCs w:val="32"/>
          <w:highlight w:val="none"/>
        </w:rPr>
        <w:t>响应将判定为无效响应处理。</w:t>
      </w:r>
    </w:p>
    <w:p w14:paraId="0B82DE3E">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8" w:name="_Toc31181"/>
      <w:bookmarkStart w:id="9" w:name="_Toc3240"/>
      <w:bookmarkStart w:id="10" w:name="_Toc22929"/>
      <w:bookmarkStart w:id="11" w:name="_Toc11230"/>
      <w:r>
        <w:rPr>
          <w:rFonts w:hint="eastAsia" w:ascii="楷体" w:hAnsi="楷体" w:eastAsia="楷体" w:cs="楷体"/>
          <w:b/>
          <w:bCs/>
          <w:color w:val="auto"/>
          <w:sz w:val="32"/>
          <w:szCs w:val="32"/>
          <w:lang w:val="en-US" w:eastAsia="zh-CN"/>
        </w:rPr>
        <w:t>供应商资格条件：</w:t>
      </w:r>
      <w:bookmarkEnd w:id="8"/>
      <w:bookmarkEnd w:id="9"/>
      <w:bookmarkEnd w:id="10"/>
    </w:p>
    <w:p w14:paraId="227AEE7A">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0"/>
          <w:sz w:val="32"/>
          <w:szCs w:val="32"/>
          <w:u w:val="none"/>
          <w:lang w:val="en-US" w:eastAsia="zh-CN" w:bidi="ar"/>
        </w:rPr>
        <w:t>本项目资格要求</w:t>
      </w:r>
    </w:p>
    <w:p w14:paraId="10B05702">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1534673C">
      <w:pPr>
        <w:pStyle w:val="3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6A6F06C2">
      <w:pPr>
        <w:pStyle w:val="3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40D90844">
      <w:pPr>
        <w:pStyle w:val="3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5130E243">
      <w:pPr>
        <w:pStyle w:val="39"/>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017C442C">
      <w:pPr>
        <w:pStyle w:val="39"/>
        <w:widowControl/>
        <w:numPr>
          <w:ilvl w:val="0"/>
          <w:numId w:val="0"/>
        </w:numPr>
        <w:spacing w:after="0" w:line="520" w:lineRule="exact"/>
        <w:ind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6.提供有效期内的公司营业执照、安全生产许可证、施工劳务企业备案资质证书。</w:t>
      </w:r>
    </w:p>
    <w:p w14:paraId="35E2CC72">
      <w:pPr>
        <w:pStyle w:val="39"/>
        <w:widowControl/>
        <w:numPr>
          <w:ilvl w:val="0"/>
          <w:numId w:val="0"/>
        </w:numPr>
        <w:spacing w:after="0" w:line="520" w:lineRule="exact"/>
        <w:ind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7.具备提供零星维修、应急赶工等劳务服务的能力，在 2020年3月1日以后至少承接过两个零星维修或应急赶工劳务服务类似业绩，类似业绩证明材料：提供承接合同复印件并加盖供应商公章，承接合同的服务内容必须包含零星维修或应急赶工等相关工作</w:t>
      </w:r>
      <w:bookmarkStart w:id="179" w:name="_GoBack"/>
      <w:bookmarkEnd w:id="179"/>
      <w:r>
        <w:rPr>
          <w:rFonts w:hint="eastAsia" w:ascii="仿宋_GB2312" w:hAnsi="仿宋_GB2312" w:eastAsia="仿宋_GB2312" w:cs="仿宋_GB2312"/>
          <w:color w:val="auto"/>
          <w:kern w:val="0"/>
          <w:sz w:val="32"/>
          <w:szCs w:val="32"/>
          <w:u w:val="none"/>
          <w:lang w:val="en-US" w:eastAsia="zh-CN" w:bidi="ar"/>
        </w:rPr>
        <w:t>内容。</w:t>
      </w:r>
    </w:p>
    <w:p w14:paraId="31693B92">
      <w:pPr>
        <w:keepNext w:val="0"/>
        <w:keepLines w:val="0"/>
        <w:pageBreakBefore w:val="0"/>
        <w:widowControl/>
        <w:numPr>
          <w:ilvl w:val="0"/>
          <w:numId w:val="9"/>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u w:val="none"/>
          <w:lang w:val="en-US" w:eastAsia="zh-CN" w:bidi="ar"/>
        </w:rPr>
        <w:t>其他要求</w:t>
      </w:r>
    </w:p>
    <w:p w14:paraId="55346A0F">
      <w:pPr>
        <w:pStyle w:val="40"/>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2806C4DE">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13178208">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3.供应商的分支机构不得参加本次采购，特殊行业(仅限于银行、保险、石油石化、电力、电信行业)供应商允许其分支机构参加本次采购。</w:t>
      </w:r>
    </w:p>
    <w:p w14:paraId="4481FD6B">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4.本项目不接受联合体响应。</w:t>
      </w:r>
    </w:p>
    <w:p w14:paraId="3A977BDA">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2" w:name="_Toc6352"/>
      <w:bookmarkStart w:id="13" w:name="_Toc26361"/>
      <w:bookmarkStart w:id="14" w:name="_Toc30076"/>
      <w:r>
        <w:rPr>
          <w:rFonts w:hint="eastAsia" w:ascii="楷体" w:hAnsi="楷体" w:eastAsia="楷体" w:cs="楷体"/>
          <w:b/>
          <w:bCs/>
          <w:color w:val="auto"/>
          <w:sz w:val="32"/>
          <w:szCs w:val="32"/>
          <w:lang w:val="en-US" w:eastAsia="zh-CN"/>
        </w:rPr>
        <w:t>拟派人员资格要求：</w:t>
      </w:r>
      <w:bookmarkEnd w:id="12"/>
      <w:bookmarkEnd w:id="13"/>
      <w:bookmarkEnd w:id="14"/>
    </w:p>
    <w:p w14:paraId="0BA88876">
      <w:pPr>
        <w:pStyle w:val="40"/>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供应商应指派至少1名以上工作人员，配合采购人劳务外包管理服务工作对接，原则上供应商指派人员须接到采购人通知后2小时内响应到位。</w:t>
      </w:r>
    </w:p>
    <w:p w14:paraId="51DBC0C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6856"/>
      <w:bookmarkStart w:id="16" w:name="_Toc17066"/>
      <w:bookmarkStart w:id="17" w:name="_Toc28288"/>
      <w:bookmarkStart w:id="18" w:name="_Toc12136"/>
      <w:bookmarkStart w:id="19" w:name="_Toc14265"/>
      <w:r>
        <w:rPr>
          <w:rFonts w:hint="eastAsia" w:ascii="楷体" w:hAnsi="楷体" w:eastAsia="楷体" w:cs="楷体"/>
          <w:b/>
          <w:bCs/>
          <w:color w:val="auto"/>
          <w:sz w:val="32"/>
          <w:szCs w:val="32"/>
          <w:lang w:val="en-US" w:eastAsia="zh-CN"/>
        </w:rPr>
        <w:t>询价文件获取：</w:t>
      </w:r>
      <w:bookmarkEnd w:id="15"/>
      <w:bookmarkEnd w:id="16"/>
      <w:bookmarkEnd w:id="17"/>
      <w:bookmarkEnd w:id="18"/>
    </w:p>
    <w:p w14:paraId="02254985">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highlight w:val="none"/>
          <w:lang w:val="en-US" w:eastAsia="zh-CN"/>
        </w:rPr>
        <w:t>登入“赣云采”平台（网址：https:www.jxgyc.com/）下载询价</w:t>
      </w:r>
      <w:r>
        <w:rPr>
          <w:rFonts w:hint="eastAsia" w:ascii="仿宋_GB2312" w:hAnsi="仿宋_GB2312" w:eastAsia="仿宋_GB2312" w:cs="仿宋_GB2312"/>
          <w:color w:val="auto"/>
          <w:sz w:val="32"/>
          <w:szCs w:val="32"/>
          <w:highlight w:val="none"/>
        </w:rPr>
        <w:t>文件。</w:t>
      </w:r>
    </w:p>
    <w:p w14:paraId="0C0D72C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0" w:name="_Toc1062"/>
      <w:bookmarkStart w:id="21" w:name="_Toc2772"/>
      <w:bookmarkStart w:id="22" w:name="_Toc1839"/>
      <w:r>
        <w:rPr>
          <w:rFonts w:hint="eastAsia" w:ascii="楷体" w:hAnsi="楷体" w:eastAsia="楷体" w:cs="楷体"/>
          <w:b/>
          <w:bCs/>
          <w:color w:val="auto"/>
          <w:sz w:val="32"/>
          <w:szCs w:val="32"/>
          <w:lang w:val="en-US" w:eastAsia="zh-CN"/>
        </w:rPr>
        <w:t>响应文件上传及递交：</w:t>
      </w:r>
      <w:bookmarkEnd w:id="19"/>
      <w:bookmarkEnd w:id="20"/>
      <w:bookmarkEnd w:id="21"/>
      <w:bookmarkEnd w:id="22"/>
    </w:p>
    <w:p w14:paraId="571EDD4C">
      <w:pPr>
        <w:keepNext w:val="0"/>
        <w:keepLines w:val="0"/>
        <w:pageBreakBefore w:val="0"/>
        <w:widowControl w:val="0"/>
        <w:kinsoku/>
        <w:wordWrap/>
        <w:overflowPunct/>
        <w:topLinePunct w:val="0"/>
        <w:autoSpaceDE/>
        <w:autoSpaceDN/>
        <w:bidi w:val="0"/>
        <w:adjustRightInd/>
        <w:spacing w:line="520" w:lineRule="exact"/>
        <w:ind w:left="0" w:leftChars="0" w:firstLine="640" w:firstLineChars="200"/>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eastAsia" w:ascii="仿宋_GB2312" w:hAnsi="Calibri" w:eastAsia="仿宋_GB2312" w:cs="仿宋_GB2312"/>
          <w:kern w:val="2"/>
          <w:sz w:val="32"/>
          <w:szCs w:val="32"/>
          <w:lang w:val="en-US" w:eastAsia="zh-CN" w:bidi="ar"/>
        </w:rPr>
        <w:t>在响应截止时间前，将响应文件上传至“赣云采”平台系统中，同时将</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密封提交至纸质响应文件递交地点，密封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1"/>
    </w:p>
    <w:p w14:paraId="32141C26">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5175"/>
      <w:bookmarkStart w:id="24" w:name="_Toc9960"/>
      <w:bookmarkStart w:id="25" w:name="_Toc6684"/>
      <w:r>
        <w:rPr>
          <w:rFonts w:hint="eastAsia" w:ascii="楷体" w:hAnsi="楷体" w:eastAsia="楷体" w:cs="楷体"/>
          <w:b/>
          <w:bCs/>
          <w:color w:val="auto"/>
          <w:sz w:val="32"/>
          <w:szCs w:val="32"/>
          <w:lang w:val="en-US" w:eastAsia="zh-CN"/>
        </w:rPr>
        <w:t>现场踏勘：</w:t>
      </w:r>
      <w:bookmarkEnd w:id="23"/>
      <w:bookmarkEnd w:id="24"/>
      <w:bookmarkEnd w:id="25"/>
    </w:p>
    <w:p w14:paraId="5023FBC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6" w:name="_Toc12245"/>
      <w:bookmarkStart w:id="27" w:name="_Toc22247"/>
      <w:bookmarkStart w:id="28" w:name="_Toc25551"/>
      <w:bookmarkStart w:id="29" w:name="_Toc20948"/>
      <w:r>
        <w:rPr>
          <w:rFonts w:hint="eastAsia" w:ascii="仿宋_GB2312" w:hAnsi="仿宋_GB2312" w:eastAsia="仿宋_GB2312" w:cs="仿宋_GB2312"/>
          <w:color w:val="auto"/>
          <w:sz w:val="32"/>
          <w:szCs w:val="32"/>
          <w:lang w:val="en-US" w:eastAsia="zh-CN"/>
        </w:rPr>
        <w:t>本项目无需现场踏勘。</w:t>
      </w:r>
      <w:bookmarkEnd w:id="26"/>
      <w:bookmarkEnd w:id="27"/>
      <w:bookmarkEnd w:id="28"/>
      <w:bookmarkEnd w:id="29"/>
    </w:p>
    <w:p w14:paraId="0BF3FEF0">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0" w:name="_Toc736"/>
      <w:bookmarkStart w:id="31" w:name="_Toc26105"/>
      <w:bookmarkStart w:id="32" w:name="_Toc25886"/>
      <w:r>
        <w:rPr>
          <w:rFonts w:hint="eastAsia" w:ascii="楷体" w:hAnsi="楷体" w:eastAsia="楷体" w:cs="楷体"/>
          <w:b/>
          <w:bCs/>
          <w:color w:val="auto"/>
          <w:sz w:val="32"/>
          <w:szCs w:val="32"/>
          <w:lang w:val="en-US" w:eastAsia="zh-CN"/>
        </w:rPr>
        <w:t>询价文件澄清或答疑：</w:t>
      </w:r>
      <w:bookmarkEnd w:id="30"/>
      <w:bookmarkEnd w:id="31"/>
      <w:bookmarkEnd w:id="32"/>
    </w:p>
    <w:p w14:paraId="41A293B1">
      <w:pPr>
        <w:pStyle w:val="40"/>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w:t>
      </w:r>
      <w:r>
        <w:rPr>
          <w:rFonts w:hint="eastAsia" w:ascii="仿宋_GB2312" w:hAnsi="Calibri" w:eastAsia="仿宋_GB2312" w:cs="仿宋_GB2312"/>
          <w:color w:val="auto"/>
          <w:kern w:val="0"/>
          <w:sz w:val="32"/>
          <w:szCs w:val="32"/>
          <w:lang w:val="en-US" w:eastAsia="zh-CN" w:bidi="ar"/>
        </w:rPr>
        <w:t>在“赣云采”平台系统中</w:t>
      </w:r>
      <w:r>
        <w:rPr>
          <w:rFonts w:hint="eastAsia" w:ascii="仿宋_GB2312" w:hAnsi="仿宋_GB2312" w:eastAsia="仿宋_GB2312" w:cs="仿宋_GB2312"/>
          <w:color w:val="auto"/>
          <w:kern w:val="0"/>
          <w:sz w:val="32"/>
          <w:szCs w:val="32"/>
          <w:u w:val="none"/>
          <w:lang w:val="en-US" w:eastAsia="zh-CN" w:bidi="ar"/>
        </w:rPr>
        <w:t>对询价文件编制过程中存在的问题进行提问，截止至：</w:t>
      </w:r>
      <w:r>
        <w:rPr>
          <w:rFonts w:hint="eastAsia" w:ascii="仿宋_GB2312" w:hAnsi="仿宋_GB2312" w:eastAsia="仿宋_GB2312" w:cs="仿宋_GB2312"/>
          <w:color w:val="auto"/>
          <w:kern w:val="0"/>
          <w:sz w:val="32"/>
          <w:szCs w:val="32"/>
          <w:u w:val="single"/>
          <w:lang w:val="en-US"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25</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17：00</w:t>
      </w:r>
      <w:r>
        <w:rPr>
          <w:rFonts w:hint="eastAsia" w:ascii="仿宋_GB2312" w:hAnsi="仿宋_GB2312" w:eastAsia="仿宋_GB2312" w:cs="仿宋_GB2312"/>
          <w:color w:val="auto"/>
          <w:kern w:val="0"/>
          <w:sz w:val="32"/>
          <w:szCs w:val="32"/>
          <w:u w:val="none"/>
          <w:lang w:val="en-US" w:eastAsia="zh-CN" w:bidi="ar"/>
        </w:rPr>
        <w:t>时。</w:t>
      </w:r>
    </w:p>
    <w:p w14:paraId="093C0AF4">
      <w:pPr>
        <w:pStyle w:val="40"/>
        <w:keepNext w:val="0"/>
        <w:keepLines w:val="0"/>
        <w:pageBreakBefore w:val="0"/>
        <w:widowControl w:val="0"/>
        <w:kinsoku/>
        <w:wordWrap/>
        <w:overflowPunct/>
        <w:topLinePunct w:val="0"/>
        <w:autoSpaceDE/>
        <w:autoSpaceDN/>
        <w:bidi w:val="0"/>
        <w:adjustRightInd/>
        <w:snapToGrid/>
        <w:spacing w:after="0" w:line="520" w:lineRule="exact"/>
        <w:ind w:left="0" w:leftChars="0" w:firstLine="640" w:firstLineChars="200"/>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2025</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3</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26</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18：00</w:t>
      </w:r>
      <w:r>
        <w:rPr>
          <w:rFonts w:hint="eastAsia" w:ascii="仿宋_GB2312" w:hAnsi="仿宋_GB2312" w:eastAsia="仿宋_GB2312" w:cs="仿宋_GB2312"/>
          <w:color w:val="auto"/>
          <w:kern w:val="0"/>
          <w:sz w:val="32"/>
          <w:szCs w:val="32"/>
          <w:u w:val="none"/>
          <w:lang w:val="en-US" w:eastAsia="zh-CN" w:bidi="ar"/>
        </w:rPr>
        <w:t>时前对供应商提出的疑问解答汇总</w:t>
      </w:r>
      <w:r>
        <w:rPr>
          <w:rFonts w:hint="eastAsia" w:ascii="仿宋_GB2312" w:hAnsi="Times New Roman" w:eastAsia="仿宋_GB2312" w:cs="仿宋_GB2312"/>
          <w:color w:val="auto"/>
          <w:kern w:val="0"/>
          <w:sz w:val="32"/>
          <w:szCs w:val="32"/>
          <w:lang w:val="en-US" w:eastAsia="zh-CN" w:bidi="ar"/>
        </w:rPr>
        <w:t>并在“赣云采”平台系统中进行</w:t>
      </w:r>
      <w:r>
        <w:rPr>
          <w:rFonts w:hint="eastAsia" w:ascii="仿宋_GB2312" w:eastAsia="仿宋_GB2312" w:cs="仿宋_GB2312"/>
          <w:color w:val="auto"/>
          <w:kern w:val="0"/>
          <w:sz w:val="32"/>
          <w:szCs w:val="32"/>
          <w:lang w:val="en-US" w:eastAsia="zh-CN" w:bidi="ar"/>
        </w:rPr>
        <w:t>公告</w:t>
      </w:r>
      <w:r>
        <w:rPr>
          <w:rFonts w:hint="eastAsia" w:ascii="仿宋_GB2312" w:hAnsi="仿宋_GB2312" w:eastAsia="仿宋_GB2312" w:cs="仿宋_GB2312"/>
          <w:color w:val="auto"/>
          <w:kern w:val="0"/>
          <w:sz w:val="32"/>
          <w:szCs w:val="32"/>
          <w:u w:val="none"/>
          <w:lang w:val="en-US" w:eastAsia="zh-CN" w:bidi="ar"/>
        </w:rPr>
        <w:t>。</w:t>
      </w:r>
    </w:p>
    <w:p w14:paraId="44DC44F5">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31627"/>
      <w:bookmarkStart w:id="34" w:name="_Toc9026"/>
      <w:bookmarkStart w:id="35" w:name="_Toc14039"/>
      <w:bookmarkStart w:id="36" w:name="_Toc10769"/>
      <w:r>
        <w:rPr>
          <w:rFonts w:hint="eastAsia" w:ascii="楷体" w:hAnsi="楷体" w:eastAsia="楷体" w:cs="楷体"/>
          <w:b/>
          <w:bCs/>
          <w:color w:val="auto"/>
          <w:sz w:val="32"/>
          <w:szCs w:val="32"/>
          <w:lang w:val="en-US" w:eastAsia="zh-CN"/>
        </w:rPr>
        <w:t>响应时间、地点：</w:t>
      </w:r>
      <w:bookmarkEnd w:id="33"/>
      <w:bookmarkEnd w:id="34"/>
      <w:bookmarkEnd w:id="35"/>
      <w:bookmarkEnd w:id="36"/>
    </w:p>
    <w:p w14:paraId="1153DDF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2025</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3</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27</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15：00</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4F3957DE">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2.纸质</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14:paraId="46FFBE31">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14:paraId="3FC756C1">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37" w:name="_Toc9726"/>
      <w:bookmarkStart w:id="38" w:name="_Toc7230"/>
      <w:bookmarkStart w:id="39" w:name="_Toc1966"/>
      <w:bookmarkStart w:id="40" w:name="_Toc31921"/>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37"/>
      <w:r>
        <w:rPr>
          <w:rFonts w:hint="eastAsia" w:ascii="楷体" w:hAnsi="楷体" w:eastAsia="楷体" w:cs="楷体"/>
          <w:b/>
          <w:bCs/>
          <w:color w:val="auto"/>
          <w:sz w:val="32"/>
          <w:szCs w:val="32"/>
          <w:lang w:val="en-US" w:eastAsia="zh-CN"/>
        </w:rPr>
        <w:t>：</w:t>
      </w:r>
      <w:bookmarkEnd w:id="38"/>
      <w:bookmarkEnd w:id="39"/>
      <w:bookmarkEnd w:id="40"/>
    </w:p>
    <w:p w14:paraId="7E2ECEC8">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none"/>
          <w:lang w:val="en-US" w:eastAsia="zh-CN"/>
        </w:rPr>
        <w:t>贰</w:t>
      </w:r>
      <w:r>
        <w:rPr>
          <w:rFonts w:hint="eastAsia" w:ascii="仿宋_GB2312" w:hAnsi="仿宋_GB2312" w:eastAsia="仿宋_GB2312" w:cs="仿宋_GB2312"/>
          <w:b w:val="0"/>
          <w:bCs w:val="0"/>
          <w:color w:val="auto"/>
          <w:sz w:val="32"/>
          <w:szCs w:val="32"/>
          <w:u w:val="single"/>
          <w:lang w:val="en-US" w:eastAsia="zh-CN"/>
        </w:rPr>
        <w:t>仟元整</w:t>
      </w:r>
      <w:r>
        <w:rPr>
          <w:rFonts w:hint="eastAsia" w:ascii="仿宋_GB2312" w:hAnsi="仿宋_GB2312" w:eastAsia="仿宋_GB2312" w:cs="仿宋_GB2312"/>
          <w:b w:val="0"/>
          <w:bCs w:val="0"/>
          <w:color w:val="auto"/>
          <w:sz w:val="32"/>
          <w:szCs w:val="32"/>
          <w:u w:val="none"/>
          <w:lang w:val="en-US" w:eastAsia="zh-CN"/>
        </w:rPr>
        <w:t>（小写：</w:t>
      </w:r>
      <w:r>
        <w:rPr>
          <w:rFonts w:hint="eastAsia" w:ascii="仿宋_GB2312" w:hAnsi="仿宋_GB2312" w:eastAsia="仿宋_GB2312" w:cs="仿宋_GB2312"/>
          <w:b w:val="0"/>
          <w:bCs w:val="0"/>
          <w:color w:val="auto"/>
          <w:sz w:val="32"/>
          <w:szCs w:val="32"/>
          <w:u w:val="single"/>
          <w:lang w:val="en-US" w:eastAsia="zh-CN"/>
        </w:rPr>
        <w:t>2000.00</w:t>
      </w:r>
      <w:r>
        <w:rPr>
          <w:rFonts w:hint="eastAsia" w:ascii="仿宋_GB2312" w:hAnsi="仿宋_GB2312" w:eastAsia="仿宋_GB2312" w:cs="仿宋_GB2312"/>
          <w:b w:val="0"/>
          <w:bCs w:val="0"/>
          <w:color w:val="auto"/>
          <w:sz w:val="32"/>
          <w:szCs w:val="32"/>
          <w:u w:val="none"/>
          <w:lang w:val="en-US" w:eastAsia="zh-CN"/>
        </w:rPr>
        <w:t>元）。</w:t>
      </w:r>
    </w:p>
    <w:p w14:paraId="59E28A5F">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37603E70">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收款单位：</w:t>
      </w:r>
      <w:r>
        <w:rPr>
          <w:rFonts w:hint="default" w:ascii="仿宋_GB2312" w:hAnsi="Calibri" w:eastAsia="仿宋_GB2312" w:cs="仿宋_GB2312"/>
          <w:kern w:val="2"/>
          <w:sz w:val="32"/>
          <w:szCs w:val="32"/>
          <w:lang w:val="en-US" w:eastAsia="zh-CN" w:bidi="ar"/>
        </w:rPr>
        <w:t>赣州旅投建设集团有限公司</w:t>
      </w:r>
      <w:r>
        <w:rPr>
          <w:rFonts w:hint="default" w:ascii="仿宋_GB2312" w:hAnsi="Calibri" w:eastAsia="仿宋_GB2312" w:cs="仿宋_GB2312"/>
          <w:b/>
          <w:bCs w:val="0"/>
          <w:kern w:val="2"/>
          <w:sz w:val="32"/>
          <w:szCs w:val="32"/>
          <w:lang w:val="en-US" w:eastAsia="zh-CN" w:bidi="ar"/>
        </w:rPr>
        <w:t xml:space="preserve"> </w:t>
      </w:r>
    </w:p>
    <w:p w14:paraId="51B58DB2">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bCs w:val="0"/>
          <w:kern w:val="2"/>
          <w:sz w:val="32"/>
          <w:szCs w:val="32"/>
        </w:rPr>
      </w:pPr>
      <w:r>
        <w:rPr>
          <w:rFonts w:hint="default" w:ascii="仿宋_GB2312" w:hAnsi="Calibri" w:eastAsia="仿宋_GB2312" w:cs="仿宋_GB2312"/>
          <w:b/>
          <w:bCs w:val="0"/>
          <w:kern w:val="2"/>
          <w:sz w:val="32"/>
          <w:szCs w:val="32"/>
          <w:lang w:val="en-US" w:eastAsia="zh-CN" w:bidi="ar"/>
        </w:rPr>
        <w:t>开 户 行：</w:t>
      </w:r>
      <w:r>
        <w:rPr>
          <w:rFonts w:hint="default" w:ascii="仿宋_GB2312" w:hAnsi="Calibri" w:eastAsia="仿宋_GB2312" w:cs="仿宋_GB2312"/>
          <w:kern w:val="2"/>
          <w:sz w:val="32"/>
          <w:szCs w:val="32"/>
          <w:lang w:val="en-US" w:eastAsia="zh-CN" w:bidi="ar"/>
        </w:rPr>
        <w:t>赣州银行股份有限公司金元支行</w:t>
      </w:r>
      <w:r>
        <w:rPr>
          <w:rFonts w:hint="default" w:ascii="仿宋_GB2312" w:hAnsi="Calibri" w:eastAsia="仿宋_GB2312" w:cs="仿宋_GB2312"/>
          <w:b/>
          <w:bCs w:val="0"/>
          <w:kern w:val="2"/>
          <w:sz w:val="32"/>
          <w:szCs w:val="32"/>
          <w:lang w:val="en-US" w:eastAsia="zh-CN" w:bidi="ar"/>
        </w:rPr>
        <w:t xml:space="preserve">  </w:t>
      </w:r>
    </w:p>
    <w:p w14:paraId="4C938751">
      <w:pPr>
        <w:keepNext w:val="0"/>
        <w:keepLines w:val="0"/>
        <w:widowControl w:val="0"/>
        <w:suppressLineNumbers w:val="0"/>
        <w:spacing w:before="0" w:beforeAutospacing="0" w:after="0" w:afterAutospacing="0" w:line="560" w:lineRule="exact"/>
        <w:ind w:left="0" w:leftChars="0" w:right="0" w:firstLine="643" w:firstLineChars="200"/>
        <w:jc w:val="both"/>
        <w:rPr>
          <w:rFonts w:hint="default" w:ascii="仿宋_GB2312" w:eastAsia="仿宋_GB2312" w:cs="仿宋_GB2312"/>
          <w:b w:val="0"/>
          <w:bCs/>
          <w:kern w:val="2"/>
          <w:sz w:val="32"/>
          <w:szCs w:val="32"/>
          <w:u w:val="single"/>
        </w:rPr>
      </w:pPr>
      <w:r>
        <w:rPr>
          <w:rFonts w:hint="default" w:ascii="仿宋_GB2312" w:hAnsi="Calibri" w:eastAsia="仿宋_GB2312" w:cs="仿宋_GB2312"/>
          <w:b/>
          <w:bCs w:val="0"/>
          <w:kern w:val="2"/>
          <w:sz w:val="32"/>
          <w:szCs w:val="32"/>
          <w:lang w:val="en-US" w:eastAsia="zh-CN" w:bidi="ar"/>
        </w:rPr>
        <w:t>银行账号：</w:t>
      </w:r>
      <w:r>
        <w:rPr>
          <w:rFonts w:hint="default" w:ascii="仿宋_GB2312" w:hAnsi="Calibri" w:eastAsia="仿宋_GB2312" w:cs="仿宋_GB2312"/>
          <w:kern w:val="2"/>
          <w:sz w:val="32"/>
          <w:szCs w:val="32"/>
          <w:lang w:val="en-US" w:eastAsia="zh-CN" w:bidi="ar"/>
        </w:rPr>
        <w:t>2810000103020001695</w:t>
      </w:r>
    </w:p>
    <w:p w14:paraId="02CB6588">
      <w:pPr>
        <w:keepNext w:val="0"/>
        <w:keepLines w:val="0"/>
        <w:widowControl w:val="0"/>
        <w:suppressLineNumbers w:val="0"/>
        <w:spacing w:before="0" w:beforeAutospacing="0" w:after="0" w:afterAutospacing="0" w:line="560" w:lineRule="exact"/>
        <w:ind w:left="0" w:right="0" w:firstLine="643" w:firstLineChars="200"/>
        <w:jc w:val="both"/>
        <w:rPr>
          <w:rFonts w:ascii="仿宋_GB2312" w:hAnsi="Calibri" w:eastAsia="仿宋_GB2312" w:cs="仿宋_GB2312"/>
          <w:sz w:val="32"/>
          <w:szCs w:val="32"/>
          <w:lang w:bidi="ar"/>
        </w:rPr>
      </w:pPr>
      <w:r>
        <w:rPr>
          <w:rFonts w:hint="default" w:ascii="仿宋_GB2312" w:hAnsi="Calibri" w:eastAsia="仿宋_GB2312" w:cs="仿宋_GB2312"/>
          <w:b/>
          <w:bCs/>
          <w:kern w:val="2"/>
          <w:sz w:val="32"/>
          <w:szCs w:val="32"/>
          <w:lang w:val="en-US" w:eastAsia="zh-CN" w:bidi="ar"/>
        </w:rPr>
        <w:t>附    言：</w:t>
      </w:r>
      <w:r>
        <w:rPr>
          <w:rFonts w:hint="default" w:ascii="仿宋_GB2312" w:hAnsi="Calibri" w:eastAsia="仿宋_GB2312" w:cs="仿宋_GB2312"/>
          <w:color w:val="auto"/>
          <w:sz w:val="32"/>
          <w:szCs w:val="32"/>
          <w:u w:val="none"/>
          <w:lang w:val="en-US" w:eastAsia="zh-CN" w:bidi="ar"/>
        </w:rPr>
        <w:t>赣州旅投建设集团有限公司2025年度建筑施工劳务外包服务</w:t>
      </w:r>
      <w:r>
        <w:rPr>
          <w:rFonts w:hint="default" w:ascii="仿宋_GB2312" w:hAnsi="Calibri" w:eastAsia="仿宋_GB2312" w:cs="仿宋_GB2312"/>
          <w:b w:val="0"/>
          <w:bCs w:val="0"/>
          <w:kern w:val="2"/>
          <w:sz w:val="32"/>
          <w:szCs w:val="32"/>
          <w:lang w:val="en-US" w:eastAsia="zh-CN" w:bidi="ar"/>
        </w:rPr>
        <w:t>询价保证金</w:t>
      </w:r>
    </w:p>
    <w:p w14:paraId="5E17579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  15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 xml:space="preserve">  15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  15  </w:t>
      </w:r>
      <w:r>
        <w:rPr>
          <w:rFonts w:hint="eastAsia" w:ascii="仿宋_GB2312" w:hAnsi="仿宋_GB2312" w:eastAsia="仿宋_GB2312" w:cs="仿宋_GB2312"/>
          <w:bCs/>
          <w:color w:val="auto"/>
          <w:sz w:val="32"/>
          <w:szCs w:val="32"/>
          <w:highlight w:val="none"/>
        </w:rPr>
        <w:t>个工作日内无息退还。</w:t>
      </w:r>
    </w:p>
    <w:p w14:paraId="65B0601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56CB1B2B">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5F02573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7580FDE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60B9DC3A">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0930DB1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02903D9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1" w:name="_Toc5113"/>
      <w:bookmarkStart w:id="42" w:name="_Toc16592"/>
      <w:bookmarkStart w:id="43" w:name="_Toc11861"/>
      <w:bookmarkStart w:id="44" w:name="_Toc3380"/>
      <w:r>
        <w:rPr>
          <w:rFonts w:hint="eastAsia" w:ascii="楷体" w:hAnsi="楷体" w:eastAsia="楷体" w:cs="楷体"/>
          <w:b/>
          <w:bCs/>
          <w:color w:val="auto"/>
          <w:sz w:val="32"/>
          <w:szCs w:val="32"/>
          <w:lang w:val="en-US" w:eastAsia="zh-Hans"/>
        </w:rPr>
        <w:t>联系方式：</w:t>
      </w:r>
      <w:bookmarkEnd w:id="41"/>
      <w:bookmarkEnd w:id="42"/>
      <w:bookmarkEnd w:id="43"/>
      <w:bookmarkEnd w:id="44"/>
    </w:p>
    <w:p w14:paraId="6603C54A">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采购人：</w:t>
      </w:r>
      <w:r>
        <w:rPr>
          <w:rFonts w:hint="default" w:ascii="仿宋_GB2312" w:hAnsi="Calibri" w:eastAsia="仿宋_GB2312" w:cs="仿宋_GB2312"/>
          <w:bCs/>
          <w:kern w:val="2"/>
          <w:sz w:val="32"/>
          <w:szCs w:val="32"/>
          <w:u w:val="single"/>
          <w:lang w:val="en-US" w:eastAsia="zh-CN" w:bidi="ar"/>
        </w:rPr>
        <w:t>赣州旅投建设集团有限公司</w:t>
      </w:r>
    </w:p>
    <w:p w14:paraId="22C45DFC">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hAnsi="Calibri" w:eastAsia="仿宋_GB2312" w:cs="仿宋_GB2312"/>
          <w:bCs/>
          <w:kern w:val="2"/>
          <w:sz w:val="32"/>
          <w:szCs w:val="32"/>
          <w:u w:val="single"/>
        </w:rPr>
      </w:pPr>
      <w:r>
        <w:rPr>
          <w:rFonts w:hint="default" w:ascii="仿宋_GB2312" w:hAnsi="Calibri" w:eastAsia="仿宋_GB2312" w:cs="仿宋_GB2312"/>
          <w:bCs/>
          <w:kern w:val="2"/>
          <w:sz w:val="32"/>
          <w:szCs w:val="32"/>
          <w:lang w:val="en-US" w:eastAsia="zh-CN" w:bidi="ar"/>
        </w:rPr>
        <w:t>地    址：</w:t>
      </w:r>
      <w:r>
        <w:rPr>
          <w:rFonts w:hint="default" w:ascii="仿宋_GB2312" w:hAnsi="Calibri" w:eastAsia="仿宋_GB2312" w:cs="仿宋_GB2312"/>
          <w:bCs/>
          <w:kern w:val="2"/>
          <w:sz w:val="32"/>
          <w:szCs w:val="32"/>
          <w:u w:val="single"/>
          <w:lang w:val="en-US" w:eastAsia="zh-CN" w:bidi="ar"/>
        </w:rPr>
        <w:t>江西省赣州市章贡区赣江源大道15号</w:t>
      </w:r>
    </w:p>
    <w:p w14:paraId="7B8167FB">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 系 人：</w:t>
      </w:r>
      <w:r>
        <w:rPr>
          <w:rFonts w:hint="default" w:ascii="仿宋_GB2312" w:hAnsi="Calibri" w:eastAsia="仿宋_GB2312" w:cs="仿宋_GB2312"/>
          <w:bCs/>
          <w:kern w:val="2"/>
          <w:sz w:val="32"/>
          <w:szCs w:val="32"/>
          <w:u w:val="single"/>
          <w:lang w:val="en-US" w:eastAsia="zh-CN" w:bidi="ar"/>
        </w:rPr>
        <w:t>郭经理</w:t>
      </w:r>
    </w:p>
    <w:p w14:paraId="03B4503F">
      <w:pPr>
        <w:keepNext w:val="0"/>
        <w:keepLines w:val="0"/>
        <w:widowControl w:val="0"/>
        <w:suppressLineNumbers w:val="0"/>
        <w:spacing w:before="0" w:beforeAutospacing="0" w:after="0" w:afterAutospacing="0" w:line="560" w:lineRule="exact"/>
        <w:ind w:left="0" w:leftChars="0" w:right="0" w:firstLine="640" w:firstLineChars="200"/>
        <w:jc w:val="both"/>
        <w:rPr>
          <w:rFonts w:hint="default" w:ascii="仿宋_GB2312" w:eastAsia="仿宋_GB2312" w:cs="仿宋_GB2312"/>
          <w:bCs/>
          <w:kern w:val="2"/>
          <w:sz w:val="32"/>
          <w:szCs w:val="32"/>
        </w:rPr>
      </w:pPr>
      <w:r>
        <w:rPr>
          <w:rFonts w:hint="default" w:ascii="仿宋_GB2312" w:hAnsi="Calibri" w:eastAsia="仿宋_GB2312" w:cs="仿宋_GB2312"/>
          <w:bCs/>
          <w:kern w:val="2"/>
          <w:sz w:val="32"/>
          <w:szCs w:val="32"/>
          <w:lang w:val="en-US" w:eastAsia="zh-CN" w:bidi="ar"/>
        </w:rPr>
        <w:t>联系方式：</w:t>
      </w:r>
      <w:r>
        <w:rPr>
          <w:rFonts w:hint="default" w:ascii="仿宋_GB2312" w:hAnsi="Calibri" w:eastAsia="仿宋_GB2312" w:cs="仿宋_GB2312"/>
          <w:bCs/>
          <w:kern w:val="2"/>
          <w:sz w:val="32"/>
          <w:szCs w:val="32"/>
          <w:u w:val="single"/>
          <w:lang w:val="en-US" w:eastAsia="zh-CN" w:bidi="ar"/>
        </w:rPr>
        <w:t>18770811765</w:t>
      </w:r>
    </w:p>
    <w:p w14:paraId="736FAD0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5B384B8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54AF6461">
      <w:pPr>
        <w:spacing w:line="360" w:lineRule="auto"/>
        <w:jc w:val="center"/>
        <w:outlineLvl w:val="0"/>
        <w:rPr>
          <w:rFonts w:hint="eastAsia" w:ascii="Times New Roman" w:hAnsi="黑体" w:eastAsia="黑体"/>
          <w:b/>
          <w:bCs w:val="0"/>
          <w:color w:val="auto"/>
          <w:sz w:val="32"/>
          <w:szCs w:val="32"/>
        </w:rPr>
      </w:pPr>
      <w:bookmarkStart w:id="45" w:name="_Toc6233"/>
      <w:bookmarkStart w:id="46" w:name="_Toc27978"/>
      <w:bookmarkStart w:id="47" w:name="_Toc16627"/>
      <w:bookmarkStart w:id="48" w:name="_Toc5517"/>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45"/>
      <w:bookmarkEnd w:id="46"/>
      <w:bookmarkEnd w:id="47"/>
      <w:bookmarkEnd w:id="48"/>
    </w:p>
    <w:p w14:paraId="7040A6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49" w:name="_Toc15458"/>
      <w:bookmarkStart w:id="50" w:name="_Toc17731"/>
      <w:bookmarkStart w:id="51"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49"/>
      <w:bookmarkEnd w:id="50"/>
    </w:p>
    <w:p w14:paraId="296837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1"/>
    </w:p>
    <w:p w14:paraId="25B6E3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2" w:name="_Toc14554"/>
      <w:bookmarkStart w:id="53" w:name="_Toc23099"/>
      <w:r>
        <w:rPr>
          <w:rFonts w:hint="eastAsia" w:ascii="楷体" w:hAnsi="楷体" w:eastAsia="楷体" w:cs="楷体"/>
          <w:b/>
          <w:bCs w:val="0"/>
          <w:color w:val="auto"/>
          <w:sz w:val="32"/>
          <w:szCs w:val="32"/>
          <w:lang w:val="en-US" w:eastAsia="zh-CN"/>
        </w:rPr>
        <w:t>2.定义</w:t>
      </w:r>
      <w:bookmarkEnd w:id="52"/>
      <w:bookmarkEnd w:id="53"/>
    </w:p>
    <w:p w14:paraId="59DC6C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default" w:ascii="仿宋_GB2312" w:hAnsi="Calibri" w:eastAsia="仿宋_GB2312" w:cs="仿宋_GB2312"/>
          <w:bCs/>
          <w:kern w:val="2"/>
          <w:sz w:val="32"/>
          <w:szCs w:val="32"/>
          <w:u w:val="single"/>
          <w:lang w:val="en-US" w:eastAsia="zh-CN" w:bidi="ar"/>
        </w:rPr>
        <w:t>赣州旅投建设集团有限公司</w:t>
      </w:r>
    </w:p>
    <w:p w14:paraId="403FB56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54B1C2D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4" w:name="_Toc32497"/>
      <w:bookmarkStart w:id="55" w:name="_Toc19070"/>
      <w:r>
        <w:rPr>
          <w:rFonts w:hint="eastAsia" w:ascii="楷体" w:hAnsi="楷体" w:eastAsia="楷体" w:cs="楷体"/>
          <w:b/>
          <w:bCs w:val="0"/>
          <w:color w:val="auto"/>
          <w:sz w:val="32"/>
          <w:szCs w:val="32"/>
          <w:lang w:val="en-US" w:eastAsia="zh-CN"/>
        </w:rPr>
        <w:t>3.响应文件的构成</w:t>
      </w:r>
      <w:bookmarkEnd w:id="54"/>
      <w:bookmarkEnd w:id="55"/>
    </w:p>
    <w:p w14:paraId="319735A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56"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7DE7FF2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6FE7CE6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56"/>
    </w:p>
    <w:p w14:paraId="4C5CD70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7"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57"/>
    </w:p>
    <w:p w14:paraId="0123B28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58" w:name="_Toc3486"/>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5技术要求响应表</w:t>
      </w:r>
      <w:r>
        <w:rPr>
          <w:rFonts w:hint="eastAsia" w:ascii="仿宋_GB2312" w:hAnsi="仿宋_GB2312" w:eastAsia="仿宋_GB2312" w:cs="仿宋_GB2312"/>
          <w:color w:val="auto"/>
          <w:sz w:val="32"/>
          <w:szCs w:val="32"/>
        </w:rPr>
        <w:t>；</w:t>
      </w:r>
      <w:bookmarkEnd w:id="58"/>
    </w:p>
    <w:p w14:paraId="00E3EDA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3.6资格证明等</w:t>
      </w:r>
      <w:bookmarkStart w:id="59" w:name="_Toc15977"/>
      <w:r>
        <w:rPr>
          <w:rFonts w:hint="eastAsia" w:ascii="仿宋_GB2312" w:hAnsi="仿宋_GB2312" w:eastAsia="仿宋_GB2312" w:cs="仿宋_GB2312"/>
          <w:color w:val="auto"/>
          <w:sz w:val="32"/>
          <w:szCs w:val="32"/>
        </w:rPr>
        <w:t>相关资料。</w:t>
      </w:r>
      <w:bookmarkEnd w:id="59"/>
    </w:p>
    <w:p w14:paraId="7982D9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8898"/>
      <w:bookmarkStart w:id="61" w:name="_Toc9532"/>
      <w:r>
        <w:rPr>
          <w:rFonts w:hint="eastAsia" w:ascii="楷体" w:hAnsi="楷体" w:eastAsia="楷体" w:cs="楷体"/>
          <w:b/>
          <w:bCs w:val="0"/>
          <w:color w:val="auto"/>
          <w:sz w:val="32"/>
          <w:szCs w:val="32"/>
          <w:lang w:val="en-US" w:eastAsia="zh-CN"/>
        </w:rPr>
        <w:t>4.询价文件澄清</w:t>
      </w:r>
      <w:bookmarkEnd w:id="60"/>
      <w:bookmarkEnd w:id="61"/>
    </w:p>
    <w:p w14:paraId="00EF84D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响应截止</w:t>
      </w:r>
      <w:r>
        <w:rPr>
          <w:rFonts w:hint="eastAsia" w:ascii="仿宋_GB2312" w:hAnsi="仿宋_GB2312" w:eastAsia="仿宋_GB2312" w:cs="仿宋_GB2312"/>
          <w:color w:val="auto"/>
          <w:sz w:val="32"/>
          <w:szCs w:val="32"/>
          <w:lang w:val="en-US" w:eastAsia="zh-CN"/>
        </w:rPr>
        <w:t>时间</w:t>
      </w:r>
      <w:r>
        <w:rPr>
          <w:rFonts w:hint="eastAsia" w:ascii="仿宋_GB2312" w:hAnsi="仿宋_GB2312" w:eastAsia="仿宋_GB2312" w:cs="仿宋_GB2312"/>
          <w:color w:val="auto"/>
          <w:sz w:val="32"/>
          <w:szCs w:val="32"/>
        </w:rPr>
        <w:t>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w:t>
      </w:r>
      <w:r>
        <w:rPr>
          <w:rFonts w:hint="eastAsia" w:ascii="仿宋_GB2312" w:hAnsi="Times New Roman" w:eastAsia="仿宋_GB2312" w:cs="仿宋_GB2312"/>
          <w:color w:val="auto"/>
          <w:kern w:val="0"/>
          <w:sz w:val="32"/>
          <w:szCs w:val="32"/>
          <w:lang w:val="en-US" w:eastAsia="zh-CN" w:bidi="ar"/>
        </w:rPr>
        <w:t>在“赣云采”平台系统</w:t>
      </w:r>
      <w:r>
        <w:rPr>
          <w:rFonts w:hint="eastAsia" w:ascii="仿宋_GB2312" w:hAnsi="仿宋_GB2312" w:eastAsia="仿宋_GB2312" w:cs="仿宋_GB2312"/>
          <w:color w:val="auto"/>
          <w:sz w:val="32"/>
          <w:szCs w:val="32"/>
          <w:lang w:val="en-US" w:eastAsia="zh-CN"/>
        </w:rPr>
        <w:t>上进行公告</w:t>
      </w:r>
      <w:r>
        <w:rPr>
          <w:rFonts w:hint="eastAsia" w:ascii="仿宋_GB2312" w:hAnsi="仿宋_GB2312" w:eastAsia="仿宋_GB2312" w:cs="仿宋_GB2312"/>
          <w:color w:val="auto"/>
          <w:sz w:val="32"/>
          <w:szCs w:val="32"/>
        </w:rPr>
        <w:t>。</w:t>
      </w:r>
    </w:p>
    <w:p w14:paraId="1C0EC5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2" w:name="_Toc14236"/>
      <w:bookmarkStart w:id="63" w:name="_Toc2817"/>
      <w:bookmarkStart w:id="64" w:name="_Toc18159"/>
      <w:r>
        <w:rPr>
          <w:rFonts w:hint="eastAsia" w:ascii="楷体" w:hAnsi="楷体" w:eastAsia="楷体" w:cs="楷体"/>
          <w:b/>
          <w:bCs w:val="0"/>
          <w:color w:val="auto"/>
          <w:sz w:val="32"/>
          <w:szCs w:val="32"/>
          <w:lang w:val="en-US" w:eastAsia="zh-CN"/>
        </w:rPr>
        <w:t>5.响应文件的递交</w:t>
      </w:r>
      <w:bookmarkEnd w:id="62"/>
      <w:bookmarkEnd w:id="63"/>
    </w:p>
    <w:p w14:paraId="634CD72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截止时间前，将响应文件上传至“赣云采”平台系统中，同步将纸质响应文件密封送达指定地点，在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eastAsia" w:ascii="仿宋_GB2312" w:hAnsi="仿宋_GB2312" w:eastAsia="仿宋_GB2312" w:cs="仿宋_GB2312"/>
          <w:color w:val="auto"/>
          <w:sz w:val="32"/>
          <w:szCs w:val="32"/>
          <w:lang w:val="en-US" w:eastAsia="zh-CN"/>
        </w:rPr>
        <w:t>上传及</w:t>
      </w:r>
      <w:r>
        <w:rPr>
          <w:rFonts w:hint="eastAsia" w:ascii="仿宋_GB2312" w:hAnsi="仿宋_GB2312" w:eastAsia="仿宋_GB2312" w:cs="仿宋_GB2312"/>
          <w:color w:val="auto"/>
          <w:sz w:val="32"/>
          <w:szCs w:val="32"/>
        </w:rPr>
        <w:t>送达的响应文件</w:t>
      </w:r>
      <w:r>
        <w:rPr>
          <w:rFonts w:hint="eastAsia" w:ascii="仿宋_GB2312" w:hAnsi="仿宋_GB2312" w:eastAsia="仿宋_GB2312" w:cs="仿宋_GB2312"/>
          <w:color w:val="auto"/>
          <w:sz w:val="32"/>
          <w:szCs w:val="32"/>
          <w:lang w:val="en-US" w:eastAsia="zh-CN"/>
        </w:rPr>
        <w:t>均</w:t>
      </w:r>
      <w:r>
        <w:rPr>
          <w:rFonts w:hint="eastAsia" w:ascii="仿宋_GB2312" w:hAnsi="仿宋_GB2312" w:eastAsia="仿宋_GB2312" w:cs="仿宋_GB2312"/>
          <w:color w:val="auto"/>
          <w:sz w:val="32"/>
          <w:szCs w:val="32"/>
        </w:rPr>
        <w:t>为无效</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做</w:t>
      </w:r>
      <w:r>
        <w:rPr>
          <w:rFonts w:hint="eastAsia" w:ascii="仿宋_GB2312" w:hAnsi="仿宋_GB2312" w:eastAsia="仿宋_GB2312" w:cs="仿宋_GB2312"/>
          <w:color w:val="auto"/>
          <w:sz w:val="32"/>
          <w:szCs w:val="32"/>
        </w:rPr>
        <w:t>拒收</w:t>
      </w:r>
      <w:r>
        <w:rPr>
          <w:rFonts w:hint="eastAsia" w:ascii="仿宋_GB2312" w:hAnsi="仿宋_GB2312" w:eastAsia="仿宋_GB2312" w:cs="仿宋_GB2312"/>
          <w:color w:val="auto"/>
          <w:sz w:val="32"/>
          <w:szCs w:val="32"/>
          <w:lang w:val="en-US" w:eastAsia="zh-CN"/>
        </w:rPr>
        <w:t>处理</w:t>
      </w:r>
      <w:r>
        <w:rPr>
          <w:rFonts w:hint="eastAsia" w:ascii="仿宋_GB2312" w:hAnsi="仿宋_GB2312" w:eastAsia="仿宋_GB2312" w:cs="仿宋_GB2312"/>
          <w:color w:val="auto"/>
          <w:sz w:val="32"/>
          <w:szCs w:val="32"/>
        </w:rPr>
        <w:t>。</w:t>
      </w:r>
    </w:p>
    <w:p w14:paraId="7A2109E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5C42A93C">
      <w:pPr>
        <w:pStyle w:val="40"/>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598816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5" w:name="_Toc30046"/>
      <w:bookmarkStart w:id="66" w:name="_Toc26912"/>
      <w:r>
        <w:rPr>
          <w:rFonts w:hint="eastAsia" w:ascii="楷体" w:hAnsi="楷体" w:eastAsia="楷体" w:cs="楷体"/>
          <w:b/>
          <w:bCs w:val="0"/>
          <w:color w:val="auto"/>
          <w:sz w:val="32"/>
          <w:szCs w:val="32"/>
          <w:lang w:val="en-US" w:eastAsia="zh-CN"/>
        </w:rPr>
        <w:t>6.开标仪式</w:t>
      </w:r>
      <w:bookmarkEnd w:id="65"/>
      <w:bookmarkEnd w:id="66"/>
    </w:p>
    <w:p w14:paraId="464FB2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64"/>
      <w:r>
        <w:rPr>
          <w:rFonts w:hint="eastAsia" w:ascii="仿宋_GB2312" w:hAnsi="仿宋_GB2312" w:eastAsia="仿宋_GB2312" w:cs="仿宋_GB2312"/>
          <w:color w:val="auto"/>
          <w:sz w:val="32"/>
          <w:szCs w:val="32"/>
          <w:lang w:val="en-US" w:eastAsia="zh-CN"/>
        </w:rPr>
        <w:t>。</w:t>
      </w:r>
    </w:p>
    <w:p w14:paraId="4773EE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7" w:name="_Toc26969"/>
      <w:bookmarkStart w:id="68" w:name="_Toc12905"/>
      <w:r>
        <w:rPr>
          <w:rFonts w:hint="eastAsia" w:ascii="楷体" w:hAnsi="楷体" w:eastAsia="楷体" w:cs="楷体"/>
          <w:b/>
          <w:bCs w:val="0"/>
          <w:color w:val="auto"/>
          <w:sz w:val="32"/>
          <w:szCs w:val="32"/>
          <w:lang w:val="en-US" w:eastAsia="zh-CN"/>
        </w:rPr>
        <w:t>7.成立评审小组</w:t>
      </w:r>
      <w:bookmarkEnd w:id="67"/>
      <w:bookmarkEnd w:id="68"/>
    </w:p>
    <w:p w14:paraId="2C9AAC4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9"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69"/>
    </w:p>
    <w:p w14:paraId="0337CE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0" w:name="_Toc5783"/>
      <w:bookmarkStart w:id="71"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0"/>
      <w:bookmarkEnd w:id="71"/>
    </w:p>
    <w:p w14:paraId="3BC63C8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6CED739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6A43260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2" w:name="_Toc17075"/>
      <w:bookmarkStart w:id="73" w:name="_Toc10511"/>
      <w:r>
        <w:rPr>
          <w:rFonts w:hint="eastAsia" w:ascii="楷体" w:hAnsi="楷体" w:eastAsia="楷体" w:cs="楷体"/>
          <w:b/>
          <w:bCs w:val="0"/>
          <w:color w:val="auto"/>
          <w:sz w:val="32"/>
          <w:szCs w:val="32"/>
          <w:lang w:val="en-US" w:eastAsia="zh-CN"/>
        </w:rPr>
        <w:t>9.错误修正</w:t>
      </w:r>
      <w:bookmarkEnd w:id="72"/>
      <w:bookmarkEnd w:id="73"/>
    </w:p>
    <w:p w14:paraId="0B37755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1D92B9C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48E6EE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09D0594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38775160">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3CACB0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74" w:name="_Toc24360"/>
      <w:bookmarkStart w:id="75" w:name="_Toc16850"/>
      <w:r>
        <w:rPr>
          <w:rFonts w:hint="eastAsia" w:ascii="楷体" w:hAnsi="楷体" w:eastAsia="楷体" w:cs="楷体"/>
          <w:b/>
          <w:bCs w:val="0"/>
          <w:color w:val="auto"/>
          <w:sz w:val="32"/>
          <w:szCs w:val="32"/>
          <w:lang w:val="en-US" w:eastAsia="zh-CN"/>
        </w:rPr>
        <w:t>10.询价</w:t>
      </w:r>
      <w:bookmarkEnd w:id="74"/>
      <w:bookmarkEnd w:id="75"/>
    </w:p>
    <w:p w14:paraId="04034CD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w:t>
      </w:r>
      <w:r>
        <w:rPr>
          <w:rFonts w:hint="eastAsia" w:ascii="仿宋_GB2312" w:hAnsi="仿宋_GB2312" w:eastAsia="仿宋_GB2312" w:cs="仿宋_GB2312"/>
          <w:b w:val="0"/>
          <w:bCs w:val="0"/>
          <w:color w:val="auto"/>
          <w:sz w:val="32"/>
          <w:szCs w:val="32"/>
          <w:u w:val="none"/>
        </w:rPr>
        <w:t>法</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b w:val="0"/>
          <w:bCs w:val="0"/>
          <w:color w:val="auto"/>
          <w:sz w:val="32"/>
          <w:szCs w:val="32"/>
          <w:u w:val="none"/>
          <w:lang w:val="en-US" w:eastAsia="zh-CN"/>
        </w:rPr>
        <w:t>管理费</w:t>
      </w:r>
      <w:r>
        <w:rPr>
          <w:rFonts w:hint="eastAsia" w:ascii="仿宋_GB2312" w:hAnsi="仿宋_GB2312" w:eastAsia="仿宋_GB2312" w:cs="仿宋_GB2312"/>
          <w:color w:val="auto"/>
          <w:kern w:val="2"/>
          <w:sz w:val="32"/>
          <w:szCs w:val="32"/>
          <w:u w:val="none"/>
          <w:lang w:val="en-US" w:eastAsia="zh-CN"/>
        </w:rPr>
        <w:t>费率最低者中选</w:t>
      </w:r>
      <w:r>
        <w:rPr>
          <w:rFonts w:hint="eastAsia" w:ascii="仿宋_GB2312" w:hAnsi="仿宋_GB2312" w:eastAsia="仿宋_GB2312" w:cs="仿宋_GB2312"/>
          <w:b w:val="0"/>
          <w:bCs w:val="0"/>
          <w:color w:val="auto"/>
          <w:sz w:val="32"/>
          <w:szCs w:val="32"/>
          <w:u w:val="none"/>
          <w:lang w:eastAsia="zh-CN"/>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w:t>
      </w:r>
    </w:p>
    <w:p w14:paraId="4634F2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6" w:name="_Toc12958"/>
      <w:bookmarkStart w:id="77" w:name="_Toc8054"/>
      <w:r>
        <w:rPr>
          <w:rFonts w:hint="eastAsia" w:ascii="楷体" w:hAnsi="楷体" w:eastAsia="楷体" w:cs="楷体"/>
          <w:b/>
          <w:bCs w:val="0"/>
          <w:color w:val="auto"/>
          <w:sz w:val="32"/>
          <w:szCs w:val="32"/>
          <w:lang w:val="en-US" w:eastAsia="zh-CN"/>
        </w:rPr>
        <w:t>11.评审结果</w:t>
      </w:r>
      <w:bookmarkEnd w:id="76"/>
      <w:bookmarkEnd w:id="77"/>
    </w:p>
    <w:p w14:paraId="09DE188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30BD44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1393"/>
      <w:bookmarkStart w:id="79" w:name="_Toc19625"/>
      <w:r>
        <w:rPr>
          <w:rFonts w:hint="eastAsia" w:ascii="楷体" w:hAnsi="楷体" w:eastAsia="楷体" w:cs="楷体"/>
          <w:b/>
          <w:bCs w:val="0"/>
          <w:color w:val="auto"/>
          <w:sz w:val="32"/>
          <w:szCs w:val="32"/>
          <w:lang w:val="en-US" w:eastAsia="zh-CN"/>
        </w:rPr>
        <w:t>12.确定供应商</w:t>
      </w:r>
      <w:bookmarkEnd w:id="78"/>
      <w:bookmarkEnd w:id="79"/>
    </w:p>
    <w:p w14:paraId="4D2BE81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5D4A92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0" w:name="_Toc21621"/>
      <w:bookmarkStart w:id="81" w:name="_Toc12989"/>
      <w:r>
        <w:rPr>
          <w:rFonts w:hint="eastAsia" w:ascii="楷体" w:hAnsi="楷体" w:eastAsia="楷体" w:cs="楷体"/>
          <w:b/>
          <w:bCs w:val="0"/>
          <w:color w:val="auto"/>
          <w:sz w:val="32"/>
          <w:szCs w:val="32"/>
          <w:lang w:val="en-US" w:eastAsia="zh-CN"/>
        </w:rPr>
        <w:t>13.发出成交通知书</w:t>
      </w:r>
      <w:bookmarkEnd w:id="80"/>
      <w:bookmarkEnd w:id="81"/>
    </w:p>
    <w:p w14:paraId="0F74F1C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51A3E7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2" w:name="_Toc14674"/>
      <w:bookmarkStart w:id="83" w:name="_Toc16820"/>
      <w:r>
        <w:rPr>
          <w:rFonts w:hint="eastAsia" w:ascii="楷体" w:hAnsi="楷体" w:eastAsia="楷体" w:cs="楷体"/>
          <w:b/>
          <w:bCs w:val="0"/>
          <w:color w:val="auto"/>
          <w:sz w:val="32"/>
          <w:szCs w:val="32"/>
          <w:lang w:val="en-US" w:eastAsia="zh-CN"/>
        </w:rPr>
        <w:t>14.签订合同</w:t>
      </w:r>
      <w:bookmarkEnd w:id="82"/>
      <w:bookmarkEnd w:id="83"/>
    </w:p>
    <w:p w14:paraId="1E2B6EC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419828A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577B7A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13722"/>
      <w:bookmarkStart w:id="85" w:name="_Toc6333"/>
      <w:r>
        <w:rPr>
          <w:rFonts w:hint="eastAsia" w:ascii="楷体" w:hAnsi="楷体" w:eastAsia="楷体" w:cs="楷体"/>
          <w:b/>
          <w:bCs w:val="0"/>
          <w:color w:val="auto"/>
          <w:sz w:val="32"/>
          <w:szCs w:val="32"/>
          <w:lang w:val="en-US" w:eastAsia="zh-CN"/>
        </w:rPr>
        <w:t>15.终止询价采购</w:t>
      </w:r>
      <w:bookmarkEnd w:id="84"/>
      <w:bookmarkEnd w:id="85"/>
    </w:p>
    <w:p w14:paraId="4934494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0FEFA0D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1DCE5F9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579246EB">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44D5F5C6">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2097B0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14611D6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45662D3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16.2未在“赣云采”平台上传响应文件的或递交的纸质响应文件数量不足的；</w:t>
      </w:r>
    </w:p>
    <w:p w14:paraId="6F97120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7378B01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69AAFB4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0A962D5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374A5F6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6B4B7457">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0EB45ED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文件格式规定填写的</w:t>
      </w:r>
      <w:r>
        <w:rPr>
          <w:rFonts w:hint="eastAsia" w:ascii="仿宋_GB2312" w:hAnsi="仿宋_GB2312" w:eastAsia="仿宋_GB2312" w:cs="仿宋_GB2312"/>
          <w:color w:val="auto"/>
          <w:sz w:val="32"/>
          <w:szCs w:val="32"/>
          <w:lang w:eastAsia="zh-CN"/>
        </w:rPr>
        <w:t>；</w:t>
      </w:r>
    </w:p>
    <w:p w14:paraId="6723A0B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62D1ED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480E0F1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475F319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1E590B6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49131976">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CF95B0E">
      <w:pPr>
        <w:spacing w:line="360" w:lineRule="auto"/>
        <w:jc w:val="center"/>
        <w:outlineLvl w:val="0"/>
        <w:rPr>
          <w:rFonts w:hint="eastAsia" w:ascii="仿宋_GB2312" w:hAnsi="仿宋_GB2312" w:eastAsia="仿宋_GB2312" w:cs="仿宋_GB2312"/>
          <w:color w:val="auto"/>
          <w:sz w:val="32"/>
          <w:szCs w:val="32"/>
        </w:rPr>
      </w:pPr>
      <w:bookmarkStart w:id="86" w:name="_Toc7770"/>
      <w:bookmarkStart w:id="87"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86"/>
      <w:bookmarkEnd w:id="87"/>
    </w:p>
    <w:p w14:paraId="215BFA4E">
      <w:pPr>
        <w:pStyle w:val="40"/>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88" w:name="_Toc24837"/>
      <w:bookmarkStart w:id="89" w:name="_Toc25151"/>
      <w:r>
        <w:rPr>
          <w:rFonts w:hint="eastAsia" w:ascii="楷体" w:hAnsi="楷体" w:eastAsia="楷体" w:cs="楷体"/>
          <w:b/>
          <w:bCs/>
          <w:color w:val="auto"/>
          <w:sz w:val="32"/>
          <w:szCs w:val="32"/>
          <w:lang w:val="en-US" w:eastAsia="zh-CN"/>
        </w:rPr>
        <w:t>一、商务要求</w:t>
      </w:r>
      <w:bookmarkEnd w:id="88"/>
      <w:bookmarkEnd w:id="89"/>
    </w:p>
    <w:tbl>
      <w:tblPr>
        <w:tblStyle w:val="41"/>
        <w:tblW w:w="8366" w:type="dxa"/>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fixed"/>
        <w:tblCellMar>
          <w:top w:w="0" w:type="dxa"/>
          <w:left w:w="108" w:type="dxa"/>
          <w:bottom w:w="0" w:type="dxa"/>
          <w:right w:w="108" w:type="dxa"/>
        </w:tblCellMar>
      </w:tblPr>
      <w:tblGrid>
        <w:gridCol w:w="604"/>
        <w:gridCol w:w="1312"/>
        <w:gridCol w:w="6450"/>
      </w:tblGrid>
      <w:tr w14:paraId="1E81226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604"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04228565">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1312" w:type="dxa"/>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782D0D20">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6450" w:type="dxa"/>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216CE8C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4BD4643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DDD258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8BD00B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42B8F8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采购人指定地点</w:t>
            </w:r>
          </w:p>
        </w:tc>
      </w:tr>
      <w:tr w14:paraId="7EA4DA0F">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10E7BC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955031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0EC4889">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12个月（自2025年3月2</w:t>
            </w:r>
            <w:r>
              <w:rPr>
                <w:rFonts w:hint="eastAsia" w:asciiTheme="minorEastAsia" w:hAnsiTheme="minorEastAsia" w:cstheme="minorEastAsia"/>
                <w:color w:val="auto"/>
                <w:sz w:val="24"/>
                <w:szCs w:val="24"/>
                <w:lang w:val="en-US" w:eastAsia="zh-CN"/>
              </w:rPr>
              <w:t>8</w:t>
            </w:r>
            <w:r>
              <w:rPr>
                <w:rFonts w:hint="eastAsia" w:asciiTheme="minorEastAsia" w:hAnsiTheme="minorEastAsia" w:eastAsiaTheme="minorEastAsia" w:cstheme="minorEastAsia"/>
                <w:color w:val="auto"/>
                <w:sz w:val="24"/>
                <w:szCs w:val="24"/>
                <w:lang w:val="en-US" w:eastAsia="zh-CN"/>
              </w:rPr>
              <w:t>日至2026年3月2</w:t>
            </w:r>
            <w:r>
              <w:rPr>
                <w:rFonts w:hint="eastAsia" w:asciiTheme="minorEastAsia" w:hAnsiTheme="minorEastAsia" w:cstheme="minorEastAsia"/>
                <w:color w:val="auto"/>
                <w:sz w:val="24"/>
                <w:szCs w:val="24"/>
                <w:lang w:val="en-US" w:eastAsia="zh-CN"/>
              </w:rPr>
              <w:t>8</w:t>
            </w:r>
            <w:r>
              <w:rPr>
                <w:rFonts w:hint="eastAsia" w:asciiTheme="minorEastAsia" w:hAnsiTheme="minorEastAsia" w:eastAsiaTheme="minorEastAsia" w:cstheme="minorEastAsia"/>
                <w:color w:val="auto"/>
                <w:sz w:val="24"/>
                <w:szCs w:val="24"/>
                <w:lang w:val="en-US" w:eastAsia="zh-CN"/>
              </w:rPr>
              <w:t>日止）或劳务外包服务费用满80万元，以先到达为准，合同自动终止。</w:t>
            </w:r>
          </w:p>
        </w:tc>
      </w:tr>
      <w:tr w14:paraId="7A48C51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261E15B">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3FC48EEC">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D977168">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1、</w:t>
            </w:r>
            <w:r>
              <w:rPr>
                <w:rFonts w:hint="eastAsia" w:asciiTheme="minorEastAsia" w:hAnsiTheme="minorEastAsia" w:cstheme="minorEastAsia"/>
                <w:b w:val="0"/>
                <w:bCs w:val="0"/>
                <w:color w:val="auto"/>
                <w:kern w:val="2"/>
                <w:sz w:val="24"/>
                <w:szCs w:val="24"/>
                <w:lang w:val="en-US" w:eastAsia="zh-CN" w:bidi="ar-SA"/>
              </w:rPr>
              <w:t>供应商</w:t>
            </w:r>
            <w:r>
              <w:rPr>
                <w:rFonts w:hint="eastAsia" w:asciiTheme="minorEastAsia" w:hAnsiTheme="minorEastAsia" w:eastAsiaTheme="minorEastAsia" w:cstheme="minorEastAsia"/>
                <w:b w:val="0"/>
                <w:bCs w:val="0"/>
                <w:color w:val="auto"/>
                <w:sz w:val="24"/>
                <w:szCs w:val="24"/>
              </w:rPr>
              <w:t>负责为旅建公司提供建筑劳务外包服务，提供的劳务人员包括但不限于泥水工、木工、瓦工、油漆工、木油漆工、水电工、弱电安装调试工、电焊工、钢筋工、杂工、小工、综合维修工、清洁工、上门综合维修等。</w:t>
            </w:r>
          </w:p>
          <w:p w14:paraId="483767D7">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供应商负责劳务人员的筛选、签订劳务合同、派遣、日常考勤管理、劳务费发放、购买保险等工作。</w:t>
            </w:r>
          </w:p>
          <w:p w14:paraId="61080A4A">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3、</w:t>
            </w:r>
            <w:r>
              <w:rPr>
                <w:rFonts w:hint="eastAsia" w:asciiTheme="minorEastAsia" w:hAnsiTheme="minorEastAsia" w:eastAsiaTheme="minorEastAsia" w:cstheme="minorEastAsia"/>
                <w:b w:val="0"/>
                <w:bCs w:val="0"/>
                <w:color w:val="auto"/>
                <w:sz w:val="24"/>
                <w:szCs w:val="24"/>
              </w:rPr>
              <w:t>供应商必须按国家相关法律法规要求为全部劳务人员缴纳保险。必须购买商业保险（雇主责任险，赔偿限额不小于50万），供应商视实际情况自行决定补充购买其他商业保险。若供应商未按要求为劳务人员购买保险的，采购人可终止采购，且劳务人员施工作业期间发生的一切事故，均由供应商自行承担全部责任及赔偿。</w:t>
            </w:r>
          </w:p>
          <w:p w14:paraId="46E1F056">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4、</w:t>
            </w:r>
            <w:r>
              <w:rPr>
                <w:rFonts w:hint="eastAsia" w:asciiTheme="minorEastAsia" w:hAnsiTheme="minorEastAsia" w:eastAsiaTheme="minorEastAsia" w:cstheme="minorEastAsia"/>
                <w:b w:val="0"/>
                <w:bCs w:val="0"/>
                <w:color w:val="auto"/>
                <w:sz w:val="24"/>
                <w:szCs w:val="24"/>
              </w:rPr>
              <w:t>供应商负责建立完善的劳务人员档案管理制度，及时更新和维护劳务人员信息，并定期向</w:t>
            </w:r>
            <w:r>
              <w:rPr>
                <w:rFonts w:hint="eastAsia" w:asciiTheme="minorEastAsia" w:hAnsiTheme="minorEastAsia" w:cstheme="minorEastAsia"/>
                <w:b w:val="0"/>
                <w:bCs w:val="0"/>
                <w:color w:val="auto"/>
                <w:sz w:val="24"/>
                <w:szCs w:val="24"/>
                <w:lang w:val="en-US" w:eastAsia="zh-CN"/>
              </w:rPr>
              <w:t>采购人</w:t>
            </w:r>
            <w:r>
              <w:rPr>
                <w:rFonts w:hint="eastAsia" w:asciiTheme="minorEastAsia" w:hAnsiTheme="minorEastAsia" w:eastAsiaTheme="minorEastAsia" w:cstheme="minorEastAsia"/>
                <w:b w:val="0"/>
                <w:bCs w:val="0"/>
                <w:color w:val="auto"/>
                <w:sz w:val="24"/>
                <w:szCs w:val="24"/>
              </w:rPr>
              <w:t>提供相关人员信息报表。</w:t>
            </w:r>
          </w:p>
          <w:p w14:paraId="364086E9">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5、</w:t>
            </w:r>
            <w:r>
              <w:rPr>
                <w:rFonts w:hint="eastAsia" w:asciiTheme="minorEastAsia" w:hAnsiTheme="minorEastAsia" w:eastAsiaTheme="minorEastAsia" w:cstheme="minorEastAsia"/>
                <w:b w:val="0"/>
                <w:bCs w:val="0"/>
                <w:color w:val="auto"/>
                <w:sz w:val="24"/>
                <w:szCs w:val="24"/>
              </w:rPr>
              <w:t>供应商应严格遵守国家和地方有关劳动法律法规。对于全部劳务人员上岗前要培训岗位相关规章制度、安全生产知识、岗位技能外，还要与劳务人员签订合法有效的劳动合同。</w:t>
            </w:r>
          </w:p>
          <w:p w14:paraId="003CEA89">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6、</w:t>
            </w:r>
            <w:r>
              <w:rPr>
                <w:rFonts w:hint="eastAsia" w:asciiTheme="minorEastAsia" w:hAnsiTheme="minorEastAsia" w:eastAsiaTheme="minorEastAsia" w:cstheme="minorEastAsia"/>
                <w:b w:val="0"/>
                <w:bCs w:val="0"/>
                <w:color w:val="auto"/>
                <w:sz w:val="24"/>
                <w:szCs w:val="24"/>
              </w:rPr>
              <w:t>供应商负责处理与劳务人员的劳动纠纷和争议，承担相应的法律责任和经济责任，确保采购人在劳务外包过程中的合法权益不受侵害。</w:t>
            </w:r>
          </w:p>
          <w:p w14:paraId="4B2D4809">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7、</w:t>
            </w:r>
            <w:r>
              <w:rPr>
                <w:rFonts w:hint="eastAsia" w:asciiTheme="minorEastAsia" w:hAnsiTheme="minorEastAsia" w:eastAsiaTheme="minorEastAsia" w:cstheme="minorEastAsia"/>
                <w:b w:val="0"/>
                <w:bCs w:val="0"/>
                <w:color w:val="auto"/>
                <w:sz w:val="24"/>
                <w:szCs w:val="24"/>
              </w:rPr>
              <w:t>供应商应根据采购人的工作安排和要求，合理分配劳务人员工作任务，确保各项工作任务按时、高质量完成。</w:t>
            </w:r>
          </w:p>
          <w:p w14:paraId="71482071">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8、</w:t>
            </w:r>
            <w:r>
              <w:rPr>
                <w:rFonts w:hint="eastAsia" w:asciiTheme="minorEastAsia" w:hAnsiTheme="minorEastAsia" w:eastAsiaTheme="minorEastAsia" w:cstheme="minorEastAsia"/>
                <w:b w:val="0"/>
                <w:bCs w:val="0"/>
                <w:color w:val="auto"/>
                <w:sz w:val="24"/>
                <w:szCs w:val="24"/>
              </w:rPr>
              <w:t>供应商应建立与劳务人员的沟通机制，解决劳务人员的合理诉求，维护劳务人员队伍的稳定。</w:t>
            </w:r>
          </w:p>
          <w:p w14:paraId="7E01C6E6">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9、</w:t>
            </w:r>
            <w:r>
              <w:rPr>
                <w:rFonts w:hint="eastAsia" w:asciiTheme="minorEastAsia" w:hAnsiTheme="minorEastAsia" w:eastAsiaTheme="minorEastAsia" w:cstheme="minorEastAsia"/>
                <w:b w:val="0"/>
                <w:bCs w:val="0"/>
                <w:color w:val="auto"/>
                <w:sz w:val="24"/>
                <w:szCs w:val="24"/>
              </w:rPr>
              <w:t>供应商应对劳务人员的工作过程进行监督和指导，及时解决工作中出现的问题，并向采购人反馈工作进展情况。</w:t>
            </w:r>
          </w:p>
          <w:p w14:paraId="56BEAF4A">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10、</w:t>
            </w:r>
            <w:r>
              <w:rPr>
                <w:rFonts w:hint="eastAsia" w:asciiTheme="minorEastAsia" w:hAnsiTheme="minorEastAsia" w:eastAsiaTheme="minorEastAsia" w:cstheme="minorEastAsia"/>
                <w:b w:val="0"/>
                <w:bCs w:val="0"/>
                <w:color w:val="auto"/>
                <w:sz w:val="24"/>
                <w:szCs w:val="24"/>
              </w:rPr>
              <w:t>供应商应对在服务过程中知悉的采购人商业秘密、技术秘密、员工信息等予以保密，未经采购人书面同意，不得向任何第三方披露或使用。保密期限自合同签订之日起至保密信息公开或被合法披露之日止。</w:t>
            </w:r>
          </w:p>
          <w:p w14:paraId="06354808">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kern w:val="2"/>
                <w:sz w:val="24"/>
                <w:szCs w:val="24"/>
                <w:lang w:val="en-US" w:eastAsia="zh-CN" w:bidi="ar-SA"/>
              </w:rPr>
              <w:t>11、</w:t>
            </w:r>
            <w:r>
              <w:rPr>
                <w:rFonts w:hint="eastAsia" w:asciiTheme="minorEastAsia" w:hAnsiTheme="minorEastAsia" w:eastAsiaTheme="minorEastAsia" w:cstheme="minorEastAsia"/>
                <w:b w:val="0"/>
                <w:bCs w:val="0"/>
                <w:color w:val="auto"/>
                <w:sz w:val="24"/>
                <w:szCs w:val="24"/>
              </w:rPr>
              <w:t>供应商应指派至少1名以上工作人员，配合采购人劳务外包管理服务工作对接，原则上供应商指派人员须接到采购人通知后2小时内</w:t>
            </w:r>
            <w:r>
              <w:rPr>
                <w:rFonts w:hint="eastAsia" w:asciiTheme="minorEastAsia" w:hAnsiTheme="minorEastAsia" w:cstheme="minorEastAsia"/>
                <w:b w:val="0"/>
                <w:bCs w:val="0"/>
                <w:color w:val="auto"/>
                <w:sz w:val="24"/>
                <w:szCs w:val="24"/>
                <w:lang w:val="en-US" w:eastAsia="zh-CN"/>
              </w:rPr>
              <w:t>响应到位</w:t>
            </w:r>
            <w:r>
              <w:rPr>
                <w:rFonts w:hint="eastAsia" w:asciiTheme="minorEastAsia" w:hAnsiTheme="minorEastAsia" w:eastAsiaTheme="minorEastAsia" w:cstheme="minorEastAsia"/>
                <w:b w:val="0"/>
                <w:bCs w:val="0"/>
                <w:color w:val="auto"/>
                <w:sz w:val="24"/>
                <w:szCs w:val="24"/>
              </w:rPr>
              <w:t>。</w:t>
            </w:r>
          </w:p>
          <w:p w14:paraId="06F38555">
            <w:pPr>
              <w:pStyle w:val="216"/>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0" w:firstLineChars="0"/>
              <w:jc w:val="both"/>
              <w:textAlignment w:val="auto"/>
              <w:rPr>
                <w:rFonts w:hint="default" w:asciiTheme="minorEastAsia" w:hAnsiTheme="minorEastAsia" w:eastAsiaTheme="minorEastAsia" w:cstheme="minorEastAsia"/>
                <w:b w:val="0"/>
                <w:bCs w:val="0"/>
                <w:color w:val="auto"/>
                <w:sz w:val="24"/>
                <w:szCs w:val="24"/>
                <w:lang w:val="en-US" w:eastAsia="zh-CN"/>
              </w:rPr>
            </w:pPr>
            <w:r>
              <w:rPr>
                <w:rFonts w:hint="eastAsia" w:asciiTheme="minorEastAsia" w:hAnsiTheme="minorEastAsia" w:cstheme="minorEastAsia"/>
                <w:b w:val="0"/>
                <w:bCs w:val="0"/>
                <w:color w:val="auto"/>
                <w:sz w:val="24"/>
                <w:szCs w:val="24"/>
                <w:lang w:val="en-US" w:eastAsia="zh-CN"/>
              </w:rPr>
              <w:t>12.如采购人指定服务地点位于江西省赣州市中心城区内，</w:t>
            </w:r>
            <w:r>
              <w:rPr>
                <w:rFonts w:hint="eastAsia" w:asciiTheme="minorEastAsia" w:hAnsiTheme="minorEastAsia" w:eastAsiaTheme="minorEastAsia" w:cstheme="minorEastAsia"/>
                <w:b w:val="0"/>
                <w:bCs w:val="0"/>
                <w:color w:val="auto"/>
                <w:sz w:val="24"/>
                <w:szCs w:val="24"/>
              </w:rPr>
              <w:t>供应商</w:t>
            </w:r>
            <w:r>
              <w:rPr>
                <w:rFonts w:hint="eastAsia" w:asciiTheme="minorEastAsia" w:hAnsiTheme="minorEastAsia" w:cstheme="minorEastAsia"/>
                <w:b w:val="0"/>
                <w:bCs w:val="0"/>
                <w:color w:val="auto"/>
                <w:sz w:val="24"/>
                <w:szCs w:val="24"/>
                <w:lang w:val="en-US" w:eastAsia="zh-CN"/>
              </w:rPr>
              <w:t>应在接采购人要求后2小时内安排劳务人员到场。</w:t>
            </w:r>
          </w:p>
        </w:tc>
      </w:tr>
      <w:tr w14:paraId="63605A7B">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9CC759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4</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B67C311">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计价及</w:t>
            </w:r>
          </w:p>
          <w:p w14:paraId="79A4DC3A">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default" w:asciiTheme="minorEastAsia" w:hAnsiTheme="minorEastAsia" w:eastAsiaTheme="minorEastAsia" w:cstheme="minorEastAsia"/>
                <w:b w:val="0"/>
                <w:bCs/>
                <w:color w:val="auto"/>
                <w:sz w:val="24"/>
                <w:szCs w:val="24"/>
                <w:lang w:val="en-US" w:eastAsia="zh-CN"/>
              </w:rPr>
            </w:pPr>
            <w:r>
              <w:rPr>
                <w:rFonts w:hint="eastAsia" w:asciiTheme="minorEastAsia" w:hAnsiTheme="minorEastAsia" w:cstheme="minorEastAsia"/>
                <w:b w:val="0"/>
                <w:bCs/>
                <w:color w:val="auto"/>
                <w:sz w:val="24"/>
                <w:szCs w:val="24"/>
                <w:lang w:val="en-US" w:eastAsia="zh-CN"/>
              </w:rPr>
              <w:t>结算方式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BA7D838">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按项目或按月据实计价。</w:t>
            </w:r>
          </w:p>
          <w:p w14:paraId="26D699FF">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cstheme="minorEastAsia"/>
                <w:b w:val="0"/>
                <w:bCs w:val="0"/>
                <w:color w:val="auto"/>
                <w:sz w:val="24"/>
                <w:szCs w:val="24"/>
                <w:lang w:val="en-US" w:eastAsia="zh-CN"/>
              </w:rPr>
              <w:t>2、</w:t>
            </w:r>
            <w:r>
              <w:rPr>
                <w:rFonts w:hint="eastAsia" w:asciiTheme="minorEastAsia" w:hAnsiTheme="minorEastAsia" w:eastAsiaTheme="minorEastAsia" w:cstheme="minorEastAsia"/>
                <w:b w:val="0"/>
                <w:bCs w:val="0"/>
                <w:color w:val="auto"/>
                <w:sz w:val="24"/>
                <w:szCs w:val="24"/>
              </w:rPr>
              <w:t>劳务服务费用=（劳务费用+管理费）*（1+增值税专票票面税率）-其他应扣款。该劳务服务费用包括但不限于为完成本项目服务所需劳务人员的劳务费用、保险购买费用、管理费、税金、利润等其他全部费用。</w:t>
            </w:r>
          </w:p>
          <w:p w14:paraId="663F8E3D">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b w:val="0"/>
                <w:bCs w:val="0"/>
                <w:color w:val="auto"/>
                <w:sz w:val="24"/>
                <w:szCs w:val="24"/>
              </w:rPr>
              <w:t>①劳务费用=∑计日工人数*用工天数*费用标准+∑计月工人数*费用标准+∑计量工*工程量。劳务费用标准</w:t>
            </w:r>
            <w:r>
              <w:rPr>
                <w:rFonts w:hint="eastAsia" w:asciiTheme="minorEastAsia" w:hAnsiTheme="minorEastAsia" w:cstheme="minorEastAsia"/>
                <w:b w:val="0"/>
                <w:bCs w:val="0"/>
                <w:color w:val="auto"/>
                <w:sz w:val="24"/>
                <w:szCs w:val="24"/>
                <w:lang w:val="en-US" w:eastAsia="zh-CN"/>
              </w:rPr>
              <w:t>由采购人按市场行情综合考虑确定，</w:t>
            </w:r>
            <w:r>
              <w:rPr>
                <w:rFonts w:hint="eastAsia" w:asciiTheme="minorEastAsia" w:hAnsiTheme="minorEastAsia" w:eastAsiaTheme="minorEastAsia" w:cstheme="minorEastAsia"/>
                <w:b w:val="0"/>
                <w:bCs w:val="0"/>
                <w:color w:val="auto"/>
                <w:sz w:val="24"/>
                <w:szCs w:val="24"/>
              </w:rPr>
              <w:t>如遇法定节假日或市场行情波动等影响导致劳务费用标准波动较大时，</w:t>
            </w:r>
            <w:r>
              <w:rPr>
                <w:rFonts w:hint="eastAsia" w:asciiTheme="minorEastAsia" w:hAnsiTheme="minorEastAsia" w:cstheme="minorEastAsia"/>
                <w:b w:val="0"/>
                <w:bCs w:val="0"/>
                <w:color w:val="auto"/>
                <w:sz w:val="24"/>
                <w:szCs w:val="24"/>
                <w:lang w:val="en-US" w:eastAsia="zh-CN"/>
              </w:rPr>
              <w:t>以采购人调整通知为准</w:t>
            </w:r>
            <w:r>
              <w:rPr>
                <w:rFonts w:hint="eastAsia" w:asciiTheme="minorEastAsia" w:hAnsiTheme="minorEastAsia" w:eastAsiaTheme="minorEastAsia" w:cstheme="minorEastAsia"/>
                <w:b w:val="0"/>
                <w:bCs w:val="0"/>
                <w:color w:val="auto"/>
                <w:sz w:val="24"/>
                <w:szCs w:val="24"/>
              </w:rPr>
              <w:t>。</w:t>
            </w:r>
          </w:p>
          <w:p w14:paraId="236A6CF7">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val="0"/>
                <w:bCs w:val="0"/>
                <w:color w:val="auto"/>
                <w:sz w:val="24"/>
                <w:szCs w:val="24"/>
              </w:rPr>
              <w:t>②管理费=劳务费用*管理费费率。</w:t>
            </w:r>
          </w:p>
        </w:tc>
      </w:tr>
      <w:tr w14:paraId="6025EAE1">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D31FAB2">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5</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E08A6F3">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zh-CN"/>
              </w:rPr>
              <w:t>付款方式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DD519F7">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0"/>
                <w:sz w:val="24"/>
                <w:szCs w:val="24"/>
                <w:lang w:val="en-US" w:eastAsia="zh-CN"/>
              </w:rPr>
              <w:t>按项目或按月据实结算支付。劳务服务费用=（劳务费用+管理费）*（1+增值税专票票面税率）-其他应扣款。所有</w:t>
            </w:r>
            <w:r>
              <w:rPr>
                <w:rFonts w:hint="eastAsia" w:asciiTheme="minorEastAsia" w:hAnsiTheme="minorEastAsia" w:cstheme="minorEastAsia"/>
                <w:b w:val="0"/>
                <w:bCs/>
                <w:color w:val="auto"/>
                <w:kern w:val="0"/>
                <w:sz w:val="24"/>
                <w:szCs w:val="24"/>
                <w:lang w:val="en-US" w:eastAsia="zh-CN"/>
              </w:rPr>
              <w:t>付款</w:t>
            </w:r>
            <w:r>
              <w:rPr>
                <w:rFonts w:hint="eastAsia" w:asciiTheme="minorEastAsia" w:hAnsiTheme="minorEastAsia" w:eastAsiaTheme="minorEastAsia" w:cstheme="minorEastAsia"/>
                <w:b w:val="0"/>
                <w:bCs/>
                <w:color w:val="auto"/>
                <w:kern w:val="0"/>
                <w:sz w:val="24"/>
                <w:szCs w:val="24"/>
                <w:lang w:val="en-US" w:eastAsia="zh-CN"/>
              </w:rPr>
              <w:t>相关资料均需供应商审查后加盖公章。</w:t>
            </w:r>
            <w:r>
              <w:rPr>
                <w:rFonts w:hint="eastAsia" w:ascii="宋体" w:hAnsi="宋体" w:eastAsia="宋体" w:cs="宋体"/>
                <w:kern w:val="2"/>
                <w:sz w:val="24"/>
                <w:szCs w:val="24"/>
                <w:lang w:val="en-US" w:eastAsia="zh-CN" w:bidi="ar"/>
              </w:rPr>
              <w:t>中选供应商必须按照国家有关规定或与供应商的约定,按期支付农民工工资或供应商的相关款项，如果出现拖欠，一经查实，采购人有权直接进行支付，并从服务款内直接抵扣。采购人依服务合同向中选供应商支付任何一笔款项时，中选供应商都必须提前5日向采购人提交等额增值税专用发票，否则，采购人有权不向中选供应商支付任何款项。</w:t>
            </w:r>
          </w:p>
        </w:tc>
      </w:tr>
      <w:tr w14:paraId="2B237B5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1178394">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6</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19D115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3EF751E">
            <w:pPr>
              <w:pStyle w:val="216"/>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none"/>
                <w:lang w:val="en-US" w:eastAsia="zh-CN"/>
              </w:rPr>
              <w:t>管理费费率</w:t>
            </w:r>
            <w:r>
              <w:rPr>
                <w:rFonts w:hint="eastAsia" w:asciiTheme="minorEastAsia" w:hAnsiTheme="minorEastAsia" w:eastAsiaTheme="minorEastAsia" w:cstheme="minorEastAsia"/>
                <w:color w:val="auto"/>
                <w:sz w:val="24"/>
                <w:szCs w:val="24"/>
              </w:rPr>
              <w:t>报价，</w:t>
            </w:r>
            <w:r>
              <w:rPr>
                <w:rFonts w:hint="eastAsia" w:asciiTheme="minorEastAsia" w:hAnsiTheme="minorEastAsia" w:eastAsiaTheme="minorEastAsia" w:cstheme="minorEastAsia"/>
                <w:b w:val="0"/>
                <w:bCs w:val="0"/>
                <w:color w:val="auto"/>
                <w:sz w:val="24"/>
                <w:szCs w:val="24"/>
              </w:rPr>
              <w:t>该劳务服务费用包括但不限于为完成本项目服务所需劳务人员的劳务费用、保险购买费用、管理费、税金、利润等其他全部费用。</w:t>
            </w:r>
          </w:p>
        </w:tc>
      </w:tr>
      <w:tr w14:paraId="7B8A68F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FD58ED">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7</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8BA4F4E">
            <w:pPr>
              <w:keepNext w:val="0"/>
              <w:keepLines w:val="0"/>
              <w:pageBreakBefore w:val="0"/>
              <w:widowControl w:val="0"/>
              <w:kinsoku/>
              <w:wordWrap/>
              <w:overflowPunct/>
              <w:topLinePunct w:val="0"/>
              <w:autoSpaceDE/>
              <w:autoSpaceDN/>
              <w:bidi w:val="0"/>
              <w:adjustRightInd/>
              <w:snapToGrid w:val="0"/>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1235DC94">
            <w:pPr>
              <w:keepNext w:val="0"/>
              <w:keepLines w:val="0"/>
              <w:widowControl w:val="0"/>
              <w:suppressLineNumbers w:val="0"/>
              <w:autoSpaceDE/>
              <w:autoSpaceDN/>
              <w:spacing w:before="0" w:beforeAutospacing="0" w:after="0" w:afterAutospacing="0" w:line="360" w:lineRule="auto"/>
              <w:ind w:left="0" w:leftChars="0" w:right="0" w:firstLine="0" w:firstLineChars="0"/>
              <w:jc w:val="both"/>
              <w:rPr>
                <w:rFonts w:hint="eastAsia" w:ascii="宋体" w:hAnsi="宋体" w:eastAsia="宋体" w:cs="宋体"/>
                <w:b w:val="0"/>
                <w:bCs/>
                <w:kern w:val="2"/>
                <w:sz w:val="24"/>
                <w:szCs w:val="24"/>
              </w:rPr>
            </w:pPr>
            <w:r>
              <w:rPr>
                <w:rFonts w:hint="eastAsia" w:ascii="宋体" w:hAnsi="宋体" w:eastAsia="宋体" w:cs="宋体"/>
                <w:b w:val="0"/>
                <w:bCs/>
                <w:kern w:val="2"/>
                <w:sz w:val="24"/>
                <w:szCs w:val="24"/>
                <w:lang w:val="en-US" w:eastAsia="zh-CN" w:bidi="ar"/>
              </w:rPr>
              <w:t>实行履约保证金担保，履约保证金为10400.00元；接到中选通知书后</w:t>
            </w:r>
            <w:r>
              <w:rPr>
                <w:rFonts w:hint="eastAsia" w:ascii="宋体" w:hAnsi="宋体" w:eastAsia="宋体" w:cs="宋体"/>
                <w:b w:val="0"/>
                <w:bCs/>
                <w:kern w:val="2"/>
                <w:sz w:val="24"/>
                <w:szCs w:val="24"/>
                <w:u w:val="single"/>
                <w:lang w:val="en-US" w:eastAsia="zh-CN" w:bidi="ar"/>
              </w:rPr>
              <w:t>7</w:t>
            </w:r>
            <w:r>
              <w:rPr>
                <w:rFonts w:hint="eastAsia" w:ascii="宋体" w:hAnsi="宋体" w:eastAsia="宋体" w:cs="宋体"/>
                <w:b w:val="0"/>
                <w:bCs/>
                <w:kern w:val="2"/>
                <w:sz w:val="24"/>
                <w:szCs w:val="24"/>
                <w:lang w:val="en-US" w:eastAsia="zh-CN" w:bidi="ar"/>
              </w:rPr>
              <w:t>日历天内提交。</w:t>
            </w:r>
          </w:p>
          <w:p w14:paraId="6E4CDA99">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宋体"/>
                <w:b w:val="0"/>
                <w:bCs/>
                <w:kern w:val="2"/>
                <w:sz w:val="24"/>
                <w:szCs w:val="24"/>
              </w:rPr>
            </w:pPr>
            <w:r>
              <w:rPr>
                <w:rFonts w:hint="eastAsia" w:ascii="宋体" w:hAnsi="宋体" w:eastAsia="宋体" w:cs="宋体"/>
                <w:b w:val="0"/>
                <w:bCs/>
                <w:kern w:val="2"/>
                <w:sz w:val="24"/>
                <w:szCs w:val="24"/>
                <w:lang w:val="en-US" w:eastAsia="zh-CN" w:bidi="ar"/>
              </w:rPr>
              <w:t>履约保证金返还约定：</w:t>
            </w:r>
            <w:r>
              <w:rPr>
                <w:rFonts w:hint="eastAsia" w:ascii="宋体" w:hAnsi="宋体" w:eastAsia="宋体" w:cs="宋体"/>
                <w:bCs/>
                <w:kern w:val="2"/>
                <w:sz w:val="24"/>
                <w:szCs w:val="24"/>
                <w:lang w:val="en-US" w:eastAsia="zh-CN" w:bidi="ar"/>
              </w:rPr>
              <w:t>本工程的履约保证金在服务期满后一次性不计息返还</w:t>
            </w:r>
            <w:r>
              <w:rPr>
                <w:rFonts w:hint="eastAsia" w:ascii="宋体" w:hAnsi="宋体" w:eastAsia="宋体" w:cs="宋体"/>
                <w:b w:val="0"/>
                <w:bCs/>
                <w:kern w:val="2"/>
                <w:sz w:val="24"/>
                <w:szCs w:val="24"/>
                <w:lang w:val="en-US" w:eastAsia="zh-CN" w:bidi="ar"/>
              </w:rPr>
              <w:t>。履约保证金的退还数额为履约保证金总额减去采购人扣除的各种违约金，若各项违约金超过履约保证金总额，采购人可从支付给供应商的任何款项中扣除不足部分，并要求供应商补足履约保证金。</w:t>
            </w:r>
          </w:p>
          <w:p w14:paraId="0C981FFD">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宋体"/>
                <w:bCs/>
                <w:kern w:val="2"/>
                <w:sz w:val="24"/>
                <w:szCs w:val="24"/>
              </w:rPr>
            </w:pPr>
            <w:r>
              <w:rPr>
                <w:rFonts w:hint="eastAsia" w:ascii="宋体" w:hAnsi="宋体" w:eastAsia="宋体" w:cs="宋体"/>
                <w:b w:val="0"/>
                <w:bCs/>
                <w:kern w:val="2"/>
                <w:sz w:val="24"/>
                <w:szCs w:val="24"/>
                <w:lang w:val="en-US" w:eastAsia="zh-CN" w:bidi="ar"/>
              </w:rPr>
              <w:t>收款单位：</w:t>
            </w:r>
            <w:r>
              <w:rPr>
                <w:rFonts w:hint="eastAsia" w:ascii="宋体" w:hAnsi="宋体" w:eastAsia="宋体" w:cs="宋体"/>
                <w:bCs/>
                <w:kern w:val="2"/>
                <w:sz w:val="24"/>
                <w:szCs w:val="24"/>
                <w:lang w:val="en-US" w:eastAsia="zh-CN" w:bidi="ar"/>
              </w:rPr>
              <w:t>赣州旅投建设集团有限公司</w:t>
            </w:r>
          </w:p>
          <w:p w14:paraId="4DB3E208">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宋体"/>
                <w:bCs/>
                <w:kern w:val="2"/>
                <w:sz w:val="24"/>
                <w:szCs w:val="24"/>
              </w:rPr>
            </w:pPr>
            <w:r>
              <w:rPr>
                <w:rFonts w:hint="eastAsia" w:ascii="宋体" w:hAnsi="宋体" w:eastAsia="宋体" w:cs="宋体"/>
                <w:b w:val="0"/>
                <w:bCs/>
                <w:kern w:val="2"/>
                <w:sz w:val="24"/>
                <w:szCs w:val="24"/>
                <w:lang w:val="en-US" w:eastAsia="zh-CN" w:bidi="ar"/>
              </w:rPr>
              <w:t>开 户 行：</w:t>
            </w:r>
            <w:r>
              <w:rPr>
                <w:rFonts w:hint="eastAsia" w:ascii="宋体" w:hAnsi="宋体" w:eastAsia="宋体" w:cs="宋体"/>
                <w:bCs/>
                <w:kern w:val="2"/>
                <w:sz w:val="24"/>
                <w:szCs w:val="24"/>
                <w:lang w:val="en-US" w:eastAsia="zh-CN" w:bidi="ar"/>
              </w:rPr>
              <w:t>赣州银行股份有限公司金元支行</w:t>
            </w:r>
          </w:p>
          <w:p w14:paraId="11A6AA93">
            <w:pPr>
              <w:keepNext w:val="0"/>
              <w:keepLines w:val="0"/>
              <w:widowControl w:val="0"/>
              <w:suppressLineNumbers w:val="0"/>
              <w:spacing w:before="0" w:beforeAutospacing="0" w:after="0" w:afterAutospacing="0" w:line="360" w:lineRule="auto"/>
              <w:ind w:left="0" w:right="0" w:firstLine="0" w:firstLineChars="0"/>
              <w:jc w:val="both"/>
              <w:rPr>
                <w:rFonts w:hint="eastAsia" w:ascii="宋体" w:hAnsi="宋体" w:eastAsia="宋体" w:cs="宋体"/>
                <w:bCs/>
                <w:kern w:val="2"/>
                <w:sz w:val="24"/>
                <w:szCs w:val="24"/>
              </w:rPr>
            </w:pPr>
            <w:r>
              <w:rPr>
                <w:rFonts w:hint="eastAsia" w:ascii="宋体" w:hAnsi="宋体" w:eastAsia="宋体" w:cs="宋体"/>
                <w:b w:val="0"/>
                <w:bCs/>
                <w:kern w:val="2"/>
                <w:sz w:val="24"/>
                <w:szCs w:val="24"/>
                <w:lang w:val="en-US" w:eastAsia="zh-CN" w:bidi="ar"/>
              </w:rPr>
              <w:t>银行账号：</w:t>
            </w:r>
            <w:r>
              <w:rPr>
                <w:rFonts w:hint="eastAsia" w:ascii="宋体" w:hAnsi="宋体" w:eastAsia="宋体" w:cs="宋体"/>
                <w:bCs/>
                <w:kern w:val="2"/>
                <w:sz w:val="24"/>
                <w:szCs w:val="24"/>
                <w:lang w:val="en-US" w:eastAsia="zh-CN" w:bidi="ar"/>
              </w:rPr>
              <w:t>2810000103020001695</w:t>
            </w:r>
          </w:p>
          <w:p w14:paraId="0152A455">
            <w:pPr>
              <w:keepNext w:val="0"/>
              <w:keepLines w:val="0"/>
              <w:pageBreakBefore w:val="0"/>
              <w:widowControl w:val="0"/>
              <w:kinsoku/>
              <w:wordWrap/>
              <w:overflowPunct/>
              <w:topLinePunct w:val="0"/>
              <w:autoSpaceDE/>
              <w:autoSpaceDN/>
              <w:bidi w:val="0"/>
              <w:adjustRightInd/>
              <w:spacing w:line="360" w:lineRule="auto"/>
              <w:ind w:left="0" w:leftChars="0" w:firstLine="0" w:firstLineChars="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宋体" w:hAnsi="宋体" w:eastAsia="宋体" w:cs="宋体"/>
                <w:b w:val="0"/>
                <w:bCs/>
                <w:kern w:val="2"/>
                <w:sz w:val="24"/>
                <w:szCs w:val="24"/>
                <w:lang w:val="en-US" w:eastAsia="zh-CN" w:bidi="ar"/>
              </w:rPr>
              <w:t xml:space="preserve">    附言：</w:t>
            </w:r>
            <w:r>
              <w:rPr>
                <w:rFonts w:hint="eastAsia" w:ascii="宋体" w:hAnsi="宋体" w:eastAsia="宋体" w:cs="宋体"/>
                <w:bCs/>
                <w:color w:val="auto"/>
                <w:sz w:val="24"/>
                <w:szCs w:val="24"/>
                <w:u w:val="none"/>
                <w:lang w:val="en-US" w:eastAsia="zh-CN" w:bidi="ar"/>
              </w:rPr>
              <w:t>赣州旅投建设集团有限公司2025年度建筑施工劳务外包服务</w:t>
            </w:r>
            <w:r>
              <w:rPr>
                <w:rFonts w:hint="eastAsia" w:ascii="宋体" w:hAnsi="宋体" w:eastAsia="宋体" w:cs="宋体"/>
                <w:bCs/>
                <w:kern w:val="2"/>
                <w:sz w:val="24"/>
                <w:szCs w:val="24"/>
                <w:lang w:val="en-US" w:eastAsia="zh-CN" w:bidi="ar"/>
              </w:rPr>
              <w:t>履约保证金。</w:t>
            </w:r>
          </w:p>
        </w:tc>
      </w:tr>
      <w:tr w14:paraId="736BFFCA">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604"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2FFE347">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8</w:t>
            </w:r>
          </w:p>
        </w:tc>
        <w:tc>
          <w:tcPr>
            <w:tcW w:w="1312" w:type="dxa"/>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C573C98">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6450" w:type="dxa"/>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4133D56">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1.该项目在“赣云采”招采平台上</w:t>
            </w:r>
            <w:r>
              <w:rPr>
                <w:rFonts w:hint="eastAsia" w:asciiTheme="minorEastAsia" w:hAnsiTheme="minorEastAsia" w:cstheme="minorEastAsia"/>
                <w:color w:val="auto"/>
                <w:sz w:val="24"/>
                <w:szCs w:val="24"/>
                <w:lang w:val="en-US" w:eastAsia="zh-CN"/>
              </w:rPr>
              <w:t>发布公告</w:t>
            </w:r>
            <w:r>
              <w:rPr>
                <w:rFonts w:hint="eastAsia" w:asciiTheme="minorEastAsia" w:hAnsiTheme="minorEastAsia" w:eastAsiaTheme="minorEastAsia" w:cstheme="minorEastAsia"/>
                <w:color w:val="auto"/>
                <w:sz w:val="24"/>
                <w:szCs w:val="24"/>
              </w:rPr>
              <w:t>，供应商需注册“赣云采”平台，并在“赣云采”平台上下载询价文件并上传响应文件。网址https://ganzhou.jxgyc.com</w:t>
            </w:r>
          </w:p>
          <w:p w14:paraId="3C6A182E">
            <w:pPr>
              <w:keepNext w:val="0"/>
              <w:keepLines w:val="0"/>
              <w:pageBreakBefore w:val="0"/>
              <w:widowControl w:val="0"/>
              <w:kinsoku/>
              <w:wordWrap/>
              <w:overflowPunct/>
              <w:topLinePunct w:val="0"/>
              <w:autoSpaceDE/>
              <w:autoSpaceDN/>
              <w:bidi w:val="0"/>
              <w:adjustRightInd/>
              <w:spacing w:line="520" w:lineRule="exact"/>
              <w:ind w:left="0" w:leftChars="0" w:firstLine="0" w:firstLineChars="0"/>
              <w:jc w:val="both"/>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2.根据赣云采交易平台收费标准(暂行)公告，</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赣云采</w:t>
            </w:r>
            <w:r>
              <w:rPr>
                <w:rFonts w:hint="eastAsia" w:asciiTheme="minorEastAsia" w:hAnsi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平台向成交供应商收取平台技术服务费。“赣云采”招采平台，经营性项目按项目中选</w:t>
            </w:r>
            <w:r>
              <w:rPr>
                <w:rFonts w:hint="eastAsia" w:asciiTheme="minorEastAsia" w:hAnsiTheme="minorEastAsia" w:cstheme="minorEastAsia"/>
                <w:color w:val="auto"/>
                <w:sz w:val="24"/>
                <w:szCs w:val="24"/>
                <w:lang w:val="en-US" w:eastAsia="zh-CN"/>
              </w:rPr>
              <w:t>含税</w:t>
            </w:r>
            <w:r>
              <w:rPr>
                <w:rFonts w:hint="eastAsia" w:asciiTheme="minorEastAsia" w:hAnsiTheme="minorEastAsia" w:eastAsiaTheme="minorEastAsia" w:cstheme="minorEastAsia"/>
                <w:color w:val="auto"/>
                <w:sz w:val="24"/>
                <w:szCs w:val="24"/>
              </w:rPr>
              <w:t>金额的0.4%收取，不足500元按500元收取，封顶1万元。</w:t>
            </w:r>
            <w:r>
              <w:rPr>
                <w:rFonts w:hint="eastAsia" w:asciiTheme="minorEastAsia" w:hAnsiTheme="minorEastAsia" w:cstheme="minorEastAsia"/>
                <w:color w:val="auto"/>
                <w:sz w:val="24"/>
                <w:lang w:val="en-US" w:eastAsia="zh-CN"/>
              </w:rPr>
              <w:t>本项目</w:t>
            </w:r>
            <w:r>
              <w:rPr>
                <w:rFonts w:hint="eastAsia" w:asciiTheme="minorEastAsia" w:hAnsiTheme="minorEastAsia" w:eastAsiaTheme="minorEastAsia" w:cstheme="minorEastAsia"/>
                <w:color w:val="auto"/>
                <w:sz w:val="24"/>
                <w:szCs w:val="24"/>
              </w:rPr>
              <w:t>平台技术服务费</w:t>
            </w:r>
            <w:r>
              <w:rPr>
                <w:rFonts w:hint="eastAsia" w:asciiTheme="minorEastAsia" w:hAnsiTheme="minorEastAsia" w:cstheme="minorEastAsia"/>
                <w:color w:val="auto"/>
                <w:sz w:val="24"/>
                <w:szCs w:val="24"/>
                <w:lang w:val="en-US" w:eastAsia="zh-CN"/>
              </w:rPr>
              <w:t>以项目预算80万元乘以供应商响应报价管理费费率为基数计算，</w:t>
            </w:r>
            <w:r>
              <w:rPr>
                <w:rFonts w:hint="eastAsia" w:asciiTheme="minorEastAsia" w:hAnsiTheme="minorEastAsia" w:eastAsiaTheme="minorEastAsia" w:cstheme="minorEastAsia"/>
                <w:color w:val="auto"/>
                <w:sz w:val="24"/>
                <w:szCs w:val="24"/>
              </w:rPr>
              <w:t>上述费用由成交供应商承担，已包含在供应商报价中，请各供应商综合考虑后报价。</w:t>
            </w:r>
            <w:r>
              <w:rPr>
                <w:rFonts w:hint="eastAsia" w:asciiTheme="minorEastAsia" w:hAnsiTheme="minorEastAsia" w:cstheme="minorEastAsia"/>
                <w:color w:val="auto"/>
                <w:sz w:val="24"/>
                <w:szCs w:val="24"/>
                <w:lang w:eastAsia="zh-CN"/>
              </w:rPr>
              <w:t>（</w:t>
            </w:r>
            <w:r>
              <w:rPr>
                <w:rFonts w:hint="eastAsia" w:asciiTheme="minorEastAsia" w:hAnsiTheme="minorEastAsia" w:cstheme="minorEastAsia"/>
                <w:color w:val="auto"/>
                <w:sz w:val="24"/>
                <w:szCs w:val="24"/>
                <w:lang w:val="en-US" w:eastAsia="zh-CN"/>
              </w:rPr>
              <w:t>例：假如供应商响应报价管理费费率为10%，</w:t>
            </w:r>
            <w:r>
              <w:rPr>
                <w:rFonts w:hint="eastAsia" w:asciiTheme="minorEastAsia" w:hAnsiTheme="minorEastAsia" w:eastAsiaTheme="minorEastAsia" w:cstheme="minorEastAsia"/>
                <w:color w:val="auto"/>
                <w:sz w:val="24"/>
                <w:szCs w:val="24"/>
              </w:rPr>
              <w:t>平台技术服务费</w:t>
            </w:r>
            <w:r>
              <w:rPr>
                <w:rFonts w:hint="eastAsia" w:asciiTheme="minorEastAsia" w:hAnsiTheme="minorEastAsia" w:cstheme="minorEastAsia"/>
                <w:color w:val="auto"/>
                <w:sz w:val="24"/>
                <w:szCs w:val="24"/>
                <w:lang w:val="en-US" w:eastAsia="zh-CN"/>
              </w:rPr>
              <w:t>=800000*10%*0.4%=320元，因不足500元，故平台技术服务费为500元。</w:t>
            </w:r>
            <w:r>
              <w:rPr>
                <w:rFonts w:hint="eastAsia" w:asciiTheme="minorEastAsia" w:hAnsiTheme="minorEastAsia" w:cstheme="minorEastAsia"/>
                <w:color w:val="auto"/>
                <w:sz w:val="24"/>
                <w:szCs w:val="24"/>
                <w:lang w:eastAsia="zh-CN"/>
              </w:rPr>
              <w:t>）</w:t>
            </w:r>
          </w:p>
        </w:tc>
      </w:tr>
    </w:tbl>
    <w:p w14:paraId="647C9532">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48F02440">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1F84506">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1CEDD1D9">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754A46AC">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6ED4465D">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270345D5">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0" w:name="_Toc5971"/>
      <w:bookmarkStart w:id="91" w:name="_Toc12082"/>
    </w:p>
    <w:p w14:paraId="4303A355">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p>
    <w:p w14:paraId="7927158E">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p>
    <w:p w14:paraId="1DC887A0">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p>
    <w:p w14:paraId="5B781FF9">
      <w:pPr>
        <w:pStyle w:val="39"/>
        <w:rPr>
          <w:rFonts w:hint="eastAsia" w:ascii="楷体" w:hAnsi="楷体" w:eastAsia="楷体" w:cs="楷体"/>
          <w:b/>
          <w:bCs/>
          <w:color w:val="auto"/>
          <w:sz w:val="32"/>
          <w:szCs w:val="32"/>
          <w:lang w:val="en-US" w:eastAsia="zh-CN"/>
        </w:rPr>
      </w:pPr>
    </w:p>
    <w:p w14:paraId="167D2187">
      <w:pPr>
        <w:pStyle w:val="2"/>
        <w:rPr>
          <w:rFonts w:hint="eastAsia"/>
          <w:lang w:val="en-US" w:eastAsia="zh-CN"/>
        </w:rPr>
      </w:pPr>
    </w:p>
    <w:p w14:paraId="572E5C57">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p>
    <w:p w14:paraId="59A08B41">
      <w:pPr>
        <w:pStyle w:val="40"/>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r>
        <w:rPr>
          <w:rFonts w:hint="eastAsia" w:ascii="楷体" w:hAnsi="楷体" w:eastAsia="楷体" w:cs="楷体"/>
          <w:b/>
          <w:bCs/>
          <w:color w:val="auto"/>
          <w:sz w:val="32"/>
          <w:szCs w:val="32"/>
          <w:lang w:val="en-US" w:eastAsia="zh-CN"/>
        </w:rPr>
        <w:t>二、技术要求</w:t>
      </w:r>
      <w:bookmarkEnd w:id="90"/>
      <w:bookmarkEnd w:id="91"/>
    </w:p>
    <w:p w14:paraId="5E38FADE">
      <w:pPr>
        <w:pageBreakBefore w:val="0"/>
        <w:shd w:val="clear" w:color="auto" w:fill="FFFFFF"/>
        <w:kinsoku/>
        <w:wordWrap/>
        <w:overflowPunct/>
        <w:topLinePunct w:val="0"/>
        <w:autoSpaceDE/>
        <w:autoSpaceDN/>
        <w:bidi w:val="0"/>
        <w:spacing w:line="560" w:lineRule="exact"/>
        <w:ind w:left="0" w:leftChars="0" w:firstLine="643" w:firstLineChars="200"/>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（一）劳务费用计算</w:t>
      </w:r>
    </w:p>
    <w:p w14:paraId="321CCEF1">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1、劳务费用=∑计日工人数*用工天数*费用标准+∑计月工人数*费用标准+∑计量工*工程量。</w:t>
      </w:r>
    </w:p>
    <w:p w14:paraId="5BE51D50">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2.采购人以派工单的形式向供应商提出用工需求，派工单内容包括但不限于用工工种、用工人数、用工天数、工资标准、要求完成的工作内容及时间节点等。</w:t>
      </w:r>
    </w:p>
    <w:p w14:paraId="32C907CB">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供应商按派工单要求，据实制定用工计划，按时提供符合岗位要求的劳务人员，包括但不限于满足技能、工作经验、身体素质等方面的要求。对于专业性较强的岗位，确保劳务人员具备相应的专业技能、资质证书（如有要求）以及良好的职业道德和身体素质。特种作业人员必须持证上岗，所有劳务人员必须身体健康，无不良记录和嗜好。如供应商安排的劳务人员不满足采购人要求，采购人有权退回该劳务人员，且不承担该劳务人员的工资、来回路费等任何形式的费用。</w:t>
      </w:r>
    </w:p>
    <w:p w14:paraId="31E6EA9C">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4.采购人用工天数及用工人数以采购人现场管理人员每日统计签认的验收单并结合实际完成工作量考核为准。每做完一项工程，采购人现场管理人员会同现场有关人员验收，若因供应商劳务人员的原因导致施工质量不合格，应责令供应商返工，采购人会扣出相应的返工的机械费、材料费等费用，返工的人工也不再计取。</w:t>
      </w:r>
    </w:p>
    <w:p w14:paraId="6F838A7B">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5.劳务费用标准由采购人确定，工资由采购人按期支付给供应商，再由供应商支付劳务人员。为确保农民工维稳，也可由旅建公司直接代付至劳务人员。若供应商因拖欠劳务人员费用造成恶劣后果的，采购人可终止采购，并不退还履约保证金,给采购人造成损失超过履约保证金的部分将向供应商追偿。如采购人因劳务人员费用纠纷，要求供应商垫付费用的，采购人应无条件配合垫付劳务人员费用。</w:t>
      </w:r>
    </w:p>
    <w:p w14:paraId="4277376B">
      <w:pPr>
        <w:pageBreakBefore w:val="0"/>
        <w:shd w:val="clear" w:color="auto" w:fill="FFFFFF"/>
        <w:kinsoku/>
        <w:wordWrap/>
        <w:overflowPunct/>
        <w:topLinePunct w:val="0"/>
        <w:autoSpaceDE/>
        <w:autoSpaceDN/>
        <w:bidi w:val="0"/>
        <w:spacing w:line="560" w:lineRule="exact"/>
        <w:ind w:left="0" w:leftChars="0" w:firstLine="640" w:firstLineChars="200"/>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6、采购人可根据实际情况酌情增减用工，供应商不得以人工费用上涨，用工数量增减，劳务费用减少等理由调整中选费率。</w:t>
      </w:r>
    </w:p>
    <w:p w14:paraId="2E8800FE">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auto"/>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lang w:val="en-US" w:eastAsia="zh-CN"/>
        </w:rPr>
        <w:t>（二）违约条款</w:t>
      </w:r>
    </w:p>
    <w:p w14:paraId="42CDB95A">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1.</w:t>
      </w:r>
      <w:r>
        <w:rPr>
          <w:rFonts w:hint="eastAsia" w:ascii="仿宋_GB2312" w:hAnsi="仿宋_GB2312" w:eastAsia="仿宋_GB2312" w:cs="仿宋_GB2312"/>
          <w:color w:val="auto"/>
          <w:spacing w:val="0"/>
          <w:sz w:val="32"/>
          <w:szCs w:val="32"/>
          <w:highlight w:val="none"/>
        </w:rPr>
        <w:t>如</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出现配合不及时、服务质量差等情况，</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有权另行按实际情况调配承接业务范围，</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不得有异议。</w:t>
      </w:r>
    </w:p>
    <w:p w14:paraId="06ED7E02">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如</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提供虚假资质证明材料，不具备履行本合同的合法资质的，</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有权立即终止合同，给</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造成损失的，</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应承担赔偿责任。</w:t>
      </w:r>
    </w:p>
    <w:p w14:paraId="4A0E64F3">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rPr>
        <w:t>如</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违反中国有关法律</w:t>
      </w:r>
      <w:r>
        <w:rPr>
          <w:rFonts w:hint="eastAsia" w:ascii="仿宋_GB2312" w:hAnsi="仿宋_GB2312" w:eastAsia="仿宋_GB2312" w:cs="仿宋_GB2312"/>
          <w:color w:val="auto"/>
          <w:spacing w:val="0"/>
          <w:sz w:val="32"/>
          <w:szCs w:val="32"/>
          <w:highlight w:val="none"/>
          <w:lang w:val="en-US" w:eastAsia="zh-CN"/>
        </w:rPr>
        <w:t>法规</w:t>
      </w:r>
      <w:r>
        <w:rPr>
          <w:rFonts w:hint="eastAsia" w:ascii="仿宋_GB2312" w:hAnsi="仿宋_GB2312" w:eastAsia="仿宋_GB2312" w:cs="仿宋_GB2312"/>
          <w:color w:val="auto"/>
          <w:spacing w:val="0"/>
          <w:sz w:val="32"/>
          <w:szCs w:val="32"/>
          <w:highlight w:val="none"/>
        </w:rPr>
        <w:t>和本合同的其他规定的，</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有权终止本协议的履行，给</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造成损失的，由</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赔偿并承担由此而引起的一切损失、费用和责任。</w:t>
      </w:r>
    </w:p>
    <w:p w14:paraId="22323F1B">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rPr>
        <w:t>如</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未按合同相关要求落实执行的，</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有权终止合同，给</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造成损失的，</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应承担赔偿责任。</w:t>
      </w:r>
    </w:p>
    <w:p w14:paraId="4523D1DB">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未严格按照合同约定内容履行义务，应赔付</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已付管理费总额的20%</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pacing w:val="0"/>
          <w:sz w:val="32"/>
          <w:szCs w:val="32"/>
          <w:highlight w:val="none"/>
        </w:rPr>
        <w:t>的违约金。</w:t>
      </w:r>
    </w:p>
    <w:p w14:paraId="683924A7">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kern w:val="2"/>
          <w:sz w:val="32"/>
          <w:szCs w:val="32"/>
          <w:highlight w:val="none"/>
          <w:lang w:val="en-US" w:eastAsia="zh-CN"/>
        </w:rPr>
        <w:t>6.供应商安排的</w:t>
      </w:r>
      <w:r>
        <w:rPr>
          <w:rFonts w:hint="eastAsia" w:ascii="仿宋_GB2312" w:hAnsi="仿宋_GB2312" w:eastAsia="仿宋_GB2312" w:cs="仿宋_GB2312"/>
          <w:color w:val="auto"/>
          <w:spacing w:val="0"/>
          <w:sz w:val="32"/>
          <w:szCs w:val="32"/>
          <w:highlight w:val="none"/>
          <w:lang w:eastAsia="zh-CN"/>
        </w:rPr>
        <w:t>劳务人员</w:t>
      </w:r>
      <w:r>
        <w:rPr>
          <w:rFonts w:hint="eastAsia" w:ascii="仿宋_GB2312" w:hAnsi="仿宋_GB2312" w:eastAsia="仿宋_GB2312" w:cs="仿宋_GB2312"/>
          <w:color w:val="auto"/>
          <w:spacing w:val="0"/>
          <w:sz w:val="32"/>
          <w:szCs w:val="32"/>
          <w:highlight w:val="none"/>
        </w:rPr>
        <w:t>有下列行为的，</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有权将</w:t>
      </w:r>
      <w:r>
        <w:rPr>
          <w:rFonts w:hint="eastAsia" w:ascii="仿宋_GB2312" w:hAnsi="仿宋_GB2312" w:eastAsia="仿宋_GB2312" w:cs="仿宋_GB2312"/>
          <w:color w:val="auto"/>
          <w:spacing w:val="0"/>
          <w:sz w:val="32"/>
          <w:szCs w:val="32"/>
          <w:highlight w:val="none"/>
          <w:lang w:eastAsia="zh-CN"/>
        </w:rPr>
        <w:t>劳务人员</w:t>
      </w:r>
      <w:r>
        <w:rPr>
          <w:rFonts w:hint="eastAsia" w:ascii="仿宋_GB2312" w:hAnsi="仿宋_GB2312" w:eastAsia="仿宋_GB2312" w:cs="仿宋_GB2312"/>
          <w:color w:val="auto"/>
          <w:spacing w:val="0"/>
          <w:sz w:val="32"/>
          <w:szCs w:val="32"/>
          <w:highlight w:val="none"/>
        </w:rPr>
        <w:t>退回给</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lang w:val="en-US" w:eastAsia="zh-CN"/>
        </w:rPr>
        <w:t>并且由此给采购人造成的一切损失（包括但不限于采购人实际损失以及采购人因主张权利产生的案件受理费、保全费、保全担保费、律师代理费等一切相关费用）由供应商承担</w:t>
      </w:r>
      <w:r>
        <w:rPr>
          <w:rFonts w:hint="eastAsia" w:ascii="仿宋_GB2312" w:hAnsi="仿宋_GB2312" w:eastAsia="仿宋_GB2312" w:cs="仿宋_GB2312"/>
          <w:color w:val="auto"/>
          <w:spacing w:val="0"/>
          <w:sz w:val="32"/>
          <w:szCs w:val="32"/>
          <w:highlight w:val="none"/>
        </w:rPr>
        <w:t>：</w:t>
      </w:r>
    </w:p>
    <w:p w14:paraId="1447504D">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1</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劳务</w:t>
      </w:r>
      <w:r>
        <w:rPr>
          <w:rFonts w:hint="eastAsia" w:ascii="仿宋_GB2312" w:hAnsi="仿宋_GB2312" w:eastAsia="仿宋_GB2312" w:cs="仿宋_GB2312"/>
          <w:color w:val="auto"/>
          <w:spacing w:val="0"/>
          <w:sz w:val="32"/>
          <w:szCs w:val="32"/>
          <w:highlight w:val="none"/>
        </w:rPr>
        <w:t>人员违反操作规程，造成所负责的工作不能正常运行，或不能保证工作质量，给</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造成损失的；</w:t>
      </w:r>
    </w:p>
    <w:p w14:paraId="01BFB542">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2</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劳务</w:t>
      </w:r>
      <w:r>
        <w:rPr>
          <w:rFonts w:hint="eastAsia" w:ascii="仿宋_GB2312" w:hAnsi="仿宋_GB2312" w:eastAsia="仿宋_GB2312" w:cs="仿宋_GB2312"/>
          <w:color w:val="auto"/>
          <w:spacing w:val="0"/>
          <w:sz w:val="32"/>
          <w:szCs w:val="32"/>
          <w:highlight w:val="none"/>
        </w:rPr>
        <w:t>人员严重违反</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规章制度、岗位职责和劳动纪律的；</w:t>
      </w:r>
      <w:r>
        <w:rPr>
          <w:rFonts w:hint="eastAsia" w:ascii="仿宋_GB2312" w:hAnsi="仿宋_GB2312" w:eastAsia="仿宋_GB2312" w:cs="仿宋_GB2312"/>
          <w:color w:val="auto"/>
          <w:sz w:val="32"/>
          <w:szCs w:val="32"/>
          <w:highlight w:val="none"/>
        </w:rPr>
        <w:t xml:space="preserve"> </w:t>
      </w:r>
    </w:p>
    <w:p w14:paraId="6237B5D9">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劳务</w:t>
      </w:r>
      <w:r>
        <w:rPr>
          <w:rFonts w:hint="eastAsia" w:ascii="仿宋_GB2312" w:hAnsi="仿宋_GB2312" w:eastAsia="仿宋_GB2312" w:cs="仿宋_GB2312"/>
          <w:color w:val="auto"/>
          <w:spacing w:val="0"/>
          <w:sz w:val="32"/>
          <w:szCs w:val="32"/>
          <w:highlight w:val="none"/>
        </w:rPr>
        <w:t>人员不服从</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现场管理，在工作中出工不出力等情形的；</w:t>
      </w:r>
    </w:p>
    <w:p w14:paraId="5D96C7BF">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劳务</w:t>
      </w:r>
      <w:r>
        <w:rPr>
          <w:rFonts w:hint="eastAsia" w:ascii="仿宋_GB2312" w:hAnsi="仿宋_GB2312" w:eastAsia="仿宋_GB2312" w:cs="仿宋_GB2312"/>
          <w:color w:val="auto"/>
          <w:spacing w:val="0"/>
          <w:sz w:val="32"/>
          <w:szCs w:val="32"/>
          <w:highlight w:val="none"/>
        </w:rPr>
        <w:t>人员不能提供真实有效的健康证明、身份证明的，或提供虚假的健康证明、身份证明的；</w:t>
      </w:r>
    </w:p>
    <w:p w14:paraId="5E0FFD09">
      <w:pPr>
        <w:shd w:val="clear" w:color="auto" w:fill="FFFFFF"/>
        <w:spacing w:line="560" w:lineRule="exact"/>
        <w:ind w:firstLine="640" w:firstLineChars="200"/>
        <w:rPr>
          <w:rFonts w:hint="eastAsia" w:ascii="仿宋_GB2312" w:hAnsi="仿宋_GB2312" w:eastAsia="仿宋_GB2312" w:cs="仿宋_GB2312"/>
          <w:color w:val="auto"/>
          <w:spacing w:val="0"/>
          <w:sz w:val="32"/>
          <w:szCs w:val="32"/>
          <w:highlight w:val="none"/>
          <w:lang w:eastAsia="zh-CN"/>
        </w:rPr>
      </w:pP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5</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lang w:val="en-US" w:eastAsia="zh-CN"/>
        </w:rPr>
        <w:t>劳务</w:t>
      </w:r>
      <w:r>
        <w:rPr>
          <w:rFonts w:hint="eastAsia" w:ascii="仿宋_GB2312" w:hAnsi="仿宋_GB2312" w:eastAsia="仿宋_GB2312" w:cs="仿宋_GB2312"/>
          <w:color w:val="auto"/>
          <w:spacing w:val="0"/>
          <w:sz w:val="32"/>
          <w:szCs w:val="32"/>
          <w:highlight w:val="none"/>
        </w:rPr>
        <w:t>人员触犯法律法规的</w:t>
      </w:r>
      <w:r>
        <w:rPr>
          <w:rFonts w:hint="eastAsia" w:ascii="仿宋_GB2312" w:hAnsi="仿宋_GB2312" w:eastAsia="仿宋_GB2312" w:cs="仿宋_GB2312"/>
          <w:color w:val="auto"/>
          <w:spacing w:val="0"/>
          <w:sz w:val="32"/>
          <w:szCs w:val="32"/>
          <w:highlight w:val="none"/>
          <w:lang w:eastAsia="zh-CN"/>
        </w:rPr>
        <w:t>。</w:t>
      </w:r>
    </w:p>
    <w:p w14:paraId="63FC3AEF">
      <w:pPr>
        <w:shd w:val="clear" w:color="auto" w:fill="FFFFFF"/>
        <w:adjustRightIn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val="en-US" w:eastAsia="zh-CN"/>
        </w:rPr>
        <w:t>7.</w:t>
      </w:r>
      <w:r>
        <w:rPr>
          <w:rFonts w:hint="eastAsia" w:ascii="仿宋_GB2312" w:hAnsi="仿宋_GB2312" w:eastAsia="仿宋_GB2312" w:cs="仿宋_GB2312"/>
          <w:color w:val="auto"/>
          <w:spacing w:val="0"/>
          <w:sz w:val="32"/>
          <w:szCs w:val="32"/>
          <w:highlight w:val="none"/>
          <w:lang w:eastAsia="zh-CN"/>
        </w:rPr>
        <w:t>供应商</w:t>
      </w:r>
      <w:r>
        <w:rPr>
          <w:rFonts w:hint="eastAsia" w:ascii="仿宋_GB2312" w:hAnsi="仿宋_GB2312" w:eastAsia="仿宋_GB2312" w:cs="仿宋_GB2312"/>
          <w:color w:val="auto"/>
          <w:spacing w:val="0"/>
          <w:sz w:val="32"/>
          <w:szCs w:val="32"/>
          <w:highlight w:val="none"/>
        </w:rPr>
        <w:t>因自身原因给</w:t>
      </w:r>
      <w:r>
        <w:rPr>
          <w:rFonts w:hint="eastAsia" w:ascii="仿宋_GB2312" w:hAnsi="仿宋_GB2312" w:eastAsia="仿宋_GB2312" w:cs="仿宋_GB2312"/>
          <w:color w:val="auto"/>
          <w:spacing w:val="0"/>
          <w:sz w:val="32"/>
          <w:szCs w:val="32"/>
          <w:highlight w:val="none"/>
          <w:lang w:eastAsia="zh-CN"/>
        </w:rPr>
        <w:t>采购人</w:t>
      </w:r>
      <w:r>
        <w:rPr>
          <w:rFonts w:hint="eastAsia" w:ascii="仿宋_GB2312" w:hAnsi="仿宋_GB2312" w:eastAsia="仿宋_GB2312" w:cs="仿宋_GB2312"/>
          <w:color w:val="auto"/>
          <w:spacing w:val="0"/>
          <w:sz w:val="32"/>
          <w:szCs w:val="32"/>
          <w:highlight w:val="none"/>
        </w:rPr>
        <w:t>造成财产损失的，</w:t>
      </w:r>
      <w:r>
        <w:rPr>
          <w:rFonts w:hint="eastAsia" w:ascii="仿宋_GB2312" w:hAnsi="仿宋_GB2312" w:eastAsia="仿宋_GB2312" w:cs="仿宋_GB2312"/>
          <w:color w:val="auto"/>
          <w:spacing w:val="0"/>
          <w:sz w:val="32"/>
          <w:szCs w:val="32"/>
          <w:highlight w:val="none"/>
          <w:lang w:val="en-US" w:eastAsia="zh-CN"/>
        </w:rPr>
        <w:t>供应商</w:t>
      </w:r>
      <w:r>
        <w:rPr>
          <w:rFonts w:hint="eastAsia" w:ascii="仿宋_GB2312" w:hAnsi="仿宋_GB2312" w:eastAsia="仿宋_GB2312" w:cs="仿宋_GB2312"/>
          <w:color w:val="auto"/>
          <w:spacing w:val="0"/>
          <w:sz w:val="32"/>
          <w:szCs w:val="32"/>
          <w:highlight w:val="none"/>
        </w:rPr>
        <w:t>需赔偿</w:t>
      </w:r>
      <w:r>
        <w:rPr>
          <w:rFonts w:hint="eastAsia" w:ascii="仿宋_GB2312" w:hAnsi="仿宋_GB2312" w:eastAsia="仿宋_GB2312" w:cs="仿宋_GB2312"/>
          <w:color w:val="auto"/>
          <w:spacing w:val="0"/>
          <w:sz w:val="32"/>
          <w:szCs w:val="32"/>
          <w:highlight w:val="none"/>
          <w:lang w:val="en-US" w:eastAsia="zh-CN"/>
        </w:rPr>
        <w:t>采购人</w:t>
      </w:r>
      <w:r>
        <w:rPr>
          <w:rFonts w:hint="eastAsia" w:ascii="仿宋_GB2312" w:hAnsi="仿宋_GB2312" w:eastAsia="仿宋_GB2312" w:cs="仿宋_GB2312"/>
          <w:color w:val="auto"/>
          <w:spacing w:val="0"/>
          <w:sz w:val="32"/>
          <w:szCs w:val="32"/>
          <w:highlight w:val="none"/>
        </w:rPr>
        <w:t>。</w:t>
      </w:r>
    </w:p>
    <w:p w14:paraId="79D9CA9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color w:val="auto"/>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lang w:val="en-US" w:eastAsia="zh-CN"/>
        </w:rPr>
        <w:t>（三）采购人评价考核机制</w:t>
      </w:r>
    </w:p>
    <w:p w14:paraId="1782B33A">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1、对劳务人员的考核</w:t>
      </w:r>
    </w:p>
    <w:p w14:paraId="04DE5C4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供应商安排的劳务人员在每次施工完成后，采购人现场管理人员会对每一个劳务人员进行评价考核，采购人现场管理人员根据劳务人员的技能熟练程度，施工质量，施工效率、完成时间以及配合程度进行综合评价，评价等级分为优秀、合格及不合格三个等级。</w:t>
      </w:r>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7"/>
        <w:gridCol w:w="2753"/>
        <w:gridCol w:w="1309"/>
        <w:gridCol w:w="2953"/>
      </w:tblGrid>
      <w:tr w14:paraId="7DB75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gridSpan w:val="4"/>
          </w:tcPr>
          <w:p w14:paraId="3662D71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用工考核表</w:t>
            </w:r>
          </w:p>
        </w:tc>
      </w:tr>
      <w:tr w14:paraId="3E5A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dxa"/>
          </w:tcPr>
          <w:p w14:paraId="0460EBD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姓名</w:t>
            </w:r>
          </w:p>
        </w:tc>
        <w:tc>
          <w:tcPr>
            <w:tcW w:w="2753" w:type="dxa"/>
          </w:tcPr>
          <w:p w14:paraId="73AA239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c>
          <w:tcPr>
            <w:tcW w:w="1309" w:type="dxa"/>
          </w:tcPr>
          <w:p w14:paraId="7CE6AED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年龄</w:t>
            </w:r>
          </w:p>
        </w:tc>
        <w:tc>
          <w:tcPr>
            <w:tcW w:w="2953" w:type="dxa"/>
          </w:tcPr>
          <w:p w14:paraId="3A3DD18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322FE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7" w:type="dxa"/>
          </w:tcPr>
          <w:p w14:paraId="2D7F67E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工种</w:t>
            </w:r>
          </w:p>
        </w:tc>
        <w:tc>
          <w:tcPr>
            <w:tcW w:w="2753" w:type="dxa"/>
          </w:tcPr>
          <w:p w14:paraId="2F9282B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c>
          <w:tcPr>
            <w:tcW w:w="1309" w:type="dxa"/>
          </w:tcPr>
          <w:p w14:paraId="67B16E3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电话</w:t>
            </w:r>
          </w:p>
        </w:tc>
        <w:tc>
          <w:tcPr>
            <w:tcW w:w="2953" w:type="dxa"/>
          </w:tcPr>
          <w:p w14:paraId="03C5EAA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08BD4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9" w:type="dxa"/>
            <w:gridSpan w:val="3"/>
          </w:tcPr>
          <w:p w14:paraId="0489233C">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技能熟练程度（满分25分）</w:t>
            </w:r>
          </w:p>
        </w:tc>
        <w:tc>
          <w:tcPr>
            <w:tcW w:w="2953" w:type="dxa"/>
          </w:tcPr>
          <w:p w14:paraId="062BB32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0D27F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9" w:type="dxa"/>
            <w:gridSpan w:val="3"/>
          </w:tcPr>
          <w:p w14:paraId="7415F9DF">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施工质量（满分25分）</w:t>
            </w:r>
          </w:p>
        </w:tc>
        <w:tc>
          <w:tcPr>
            <w:tcW w:w="2953" w:type="dxa"/>
          </w:tcPr>
          <w:p w14:paraId="32BFFCB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15276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9" w:type="dxa"/>
            <w:gridSpan w:val="3"/>
          </w:tcPr>
          <w:p w14:paraId="0562F3DA">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是否按时完成（满分25分）</w:t>
            </w:r>
          </w:p>
        </w:tc>
        <w:tc>
          <w:tcPr>
            <w:tcW w:w="2953" w:type="dxa"/>
          </w:tcPr>
          <w:p w14:paraId="0223D80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61D6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9" w:type="dxa"/>
            <w:gridSpan w:val="3"/>
          </w:tcPr>
          <w:p w14:paraId="506DCF6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配合程度（满分25分）</w:t>
            </w:r>
          </w:p>
        </w:tc>
        <w:tc>
          <w:tcPr>
            <w:tcW w:w="2953" w:type="dxa"/>
          </w:tcPr>
          <w:p w14:paraId="0F1886B6">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1DCC8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9" w:type="dxa"/>
            <w:gridSpan w:val="3"/>
          </w:tcPr>
          <w:p w14:paraId="50821D1D">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总分（满分100分）</w:t>
            </w:r>
          </w:p>
        </w:tc>
        <w:tc>
          <w:tcPr>
            <w:tcW w:w="2953" w:type="dxa"/>
          </w:tcPr>
          <w:p w14:paraId="4269E68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pacing w:val="0"/>
                <w:sz w:val="32"/>
                <w:szCs w:val="32"/>
                <w:vertAlign w:val="baseline"/>
                <w:lang w:val="en-US" w:eastAsia="zh-CN"/>
              </w:rPr>
            </w:pPr>
          </w:p>
        </w:tc>
      </w:tr>
      <w:tr w14:paraId="592B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65B6721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说明：</w:t>
            </w:r>
            <w:r>
              <w:rPr>
                <w:rFonts w:hint="eastAsia" w:ascii="仿宋_GB2312" w:hAnsi="仿宋_GB2312" w:eastAsia="仿宋_GB2312" w:cs="仿宋_GB2312"/>
                <w:color w:val="auto"/>
                <w:spacing w:val="0"/>
                <w:sz w:val="32"/>
                <w:szCs w:val="32"/>
                <w:highlight w:val="none"/>
                <w:vertAlign w:val="baseline"/>
                <w:lang w:val="en-US" w:eastAsia="zh-CN"/>
              </w:rPr>
              <w:t>≥90分为优秀，6</w:t>
            </w:r>
            <w:r>
              <w:rPr>
                <w:rFonts w:hint="default" w:ascii="仿宋_GB2312" w:hAnsi="仿宋_GB2312" w:eastAsia="仿宋_GB2312" w:cs="仿宋_GB2312"/>
                <w:color w:val="auto"/>
                <w:spacing w:val="0"/>
                <w:sz w:val="32"/>
                <w:szCs w:val="32"/>
                <w:highlight w:val="none"/>
                <w:vertAlign w:val="baseline"/>
                <w:lang w:val="en-US" w:eastAsia="zh-CN"/>
              </w:rPr>
              <w:t>0</w:t>
            </w:r>
            <w:r>
              <w:rPr>
                <w:rFonts w:hint="eastAsia" w:ascii="仿宋_GB2312" w:hAnsi="仿宋_GB2312" w:eastAsia="仿宋_GB2312" w:cs="仿宋_GB2312"/>
                <w:color w:val="auto"/>
                <w:spacing w:val="0"/>
                <w:sz w:val="32"/>
                <w:szCs w:val="32"/>
                <w:highlight w:val="none"/>
                <w:vertAlign w:val="baseline"/>
                <w:lang w:val="en-US" w:eastAsia="zh-CN"/>
              </w:rPr>
              <w:t>≤X＜90为合格，＜60分为</w:t>
            </w:r>
            <w:r>
              <w:rPr>
                <w:rFonts w:hint="default" w:ascii="仿宋_GB2312" w:hAnsi="仿宋_GB2312" w:eastAsia="仿宋_GB2312" w:cs="仿宋_GB2312"/>
                <w:color w:val="auto"/>
                <w:spacing w:val="0"/>
                <w:sz w:val="32"/>
                <w:szCs w:val="32"/>
                <w:highlight w:val="none"/>
                <w:vertAlign w:val="baseline"/>
                <w:lang w:val="en-US" w:eastAsia="zh-CN"/>
              </w:rPr>
              <w:t>不</w:t>
            </w:r>
            <w:r>
              <w:rPr>
                <w:rFonts w:hint="eastAsia" w:ascii="仿宋_GB2312" w:hAnsi="仿宋_GB2312" w:eastAsia="仿宋_GB2312" w:cs="仿宋_GB2312"/>
                <w:color w:val="auto"/>
                <w:spacing w:val="0"/>
                <w:sz w:val="32"/>
                <w:szCs w:val="32"/>
                <w:highlight w:val="none"/>
                <w:vertAlign w:val="baseline"/>
                <w:lang w:val="en-US" w:eastAsia="zh-CN"/>
              </w:rPr>
              <w:t>合格。</w:t>
            </w:r>
          </w:p>
        </w:tc>
      </w:tr>
      <w:tr w14:paraId="57E6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4"/>
          </w:tcPr>
          <w:p w14:paraId="6B38FC4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项目考核人：</w:t>
            </w:r>
          </w:p>
        </w:tc>
      </w:tr>
      <w:tr w14:paraId="74491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tcPr>
          <w:p w14:paraId="75F38622">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color w:val="auto"/>
                <w:spacing w:val="0"/>
                <w:sz w:val="32"/>
                <w:szCs w:val="32"/>
                <w:vertAlign w:val="baseline"/>
                <w:lang w:val="en-US" w:eastAsia="zh-CN"/>
              </w:rPr>
            </w:pPr>
            <w:r>
              <w:rPr>
                <w:rFonts w:hint="eastAsia" w:ascii="仿宋_GB2312" w:hAnsi="仿宋_GB2312" w:eastAsia="仿宋_GB2312" w:cs="仿宋_GB2312"/>
                <w:color w:val="auto"/>
                <w:spacing w:val="0"/>
                <w:sz w:val="32"/>
                <w:szCs w:val="32"/>
                <w:vertAlign w:val="baseline"/>
                <w:lang w:val="en-US" w:eastAsia="zh-CN"/>
              </w:rPr>
              <w:t>工程建设部审核：</w:t>
            </w:r>
          </w:p>
        </w:tc>
      </w:tr>
    </w:tbl>
    <w:p w14:paraId="3EAECEC0">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劳务人员评价考核为优秀的，给予该名劳务人员下次优先用工机会；劳务人员评价考核为不合格的，采购人有权退回该名劳务人员，且后续不再使用该名劳务人员。</w:t>
      </w:r>
    </w:p>
    <w:p w14:paraId="474EBF62">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2、对供应商的考核</w:t>
      </w:r>
    </w:p>
    <w:p w14:paraId="4A8BC179">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highlight w:val="none"/>
          <w:lang w:val="en-US" w:eastAsia="zh-CN"/>
        </w:rPr>
      </w:pPr>
      <w:r>
        <w:rPr>
          <w:rFonts w:hint="eastAsia" w:ascii="仿宋_GB2312" w:hAnsi="仿宋_GB2312" w:eastAsia="仿宋_GB2312" w:cs="仿宋_GB2312"/>
          <w:color w:val="auto"/>
          <w:spacing w:val="0"/>
          <w:sz w:val="32"/>
          <w:szCs w:val="32"/>
          <w:highlight w:val="none"/>
          <w:lang w:val="en-US" w:eastAsia="zh-CN"/>
        </w:rPr>
        <w:t>采购人有权对供应商进行考核。采购人按月对供应商的服务成果进行考核，考核内容包含服务质量、工作效率、人员管理、安全生产、沟通协调、客户满意度等。考核等级分为优秀、合格及不合格三个等级，供应商单月考核为不合格的，其当月</w:t>
      </w:r>
      <w:r>
        <w:rPr>
          <w:rFonts w:hint="eastAsia" w:ascii="仿宋_GB2312" w:hAnsi="仿宋_GB2312" w:eastAsia="仿宋_GB2312" w:cs="仿宋_GB2312"/>
          <w:color w:val="auto"/>
          <w:kern w:val="2"/>
          <w:sz w:val="32"/>
          <w:szCs w:val="32"/>
          <w:highlight w:val="none"/>
          <w:lang w:val="en-US" w:eastAsia="zh-CN"/>
        </w:rPr>
        <w:t>管理费按95%计取。</w:t>
      </w:r>
      <w:r>
        <w:rPr>
          <w:rFonts w:hint="eastAsia" w:ascii="仿宋_GB2312" w:hAnsi="仿宋_GB2312" w:eastAsia="仿宋_GB2312" w:cs="仿宋_GB2312"/>
          <w:b w:val="0"/>
          <w:bCs w:val="0"/>
          <w:color w:val="auto"/>
          <w:kern w:val="2"/>
          <w:sz w:val="32"/>
          <w:szCs w:val="32"/>
          <w:highlight w:val="none"/>
          <w:lang w:val="en-US" w:eastAsia="zh-CN"/>
        </w:rPr>
        <w:t>合同履约期限内，供应商考核为不合格次数达3次及以上，采购人有权单方面解除与供应商的服务合同。</w:t>
      </w:r>
    </w:p>
    <w:p w14:paraId="09BB4351">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7738B58D">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62DE6462">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64742D7">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4F0B9F1D">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6D713AF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A7F7B5F">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8BAA69C">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r>
        <w:drawing>
          <wp:anchor distT="0" distB="0" distL="114300" distR="114300" simplePos="0" relativeHeight="251659264" behindDoc="0" locked="0" layoutInCell="1" allowOverlap="1">
            <wp:simplePos x="0" y="0"/>
            <wp:positionH relativeFrom="column">
              <wp:posOffset>-186055</wp:posOffset>
            </wp:positionH>
            <wp:positionV relativeFrom="paragraph">
              <wp:posOffset>60325</wp:posOffset>
            </wp:positionV>
            <wp:extent cx="5778500" cy="8165465"/>
            <wp:effectExtent l="0" t="0" r="12700" b="698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5778500" cy="8165465"/>
                    </a:xfrm>
                    <a:prstGeom prst="rect">
                      <a:avLst/>
                    </a:prstGeom>
                    <a:noFill/>
                    <a:ln>
                      <a:noFill/>
                    </a:ln>
                  </pic:spPr>
                </pic:pic>
              </a:graphicData>
            </a:graphic>
          </wp:anchor>
        </w:drawing>
      </w:r>
    </w:p>
    <w:p w14:paraId="18CB9A74">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72B0129">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73864920">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01DB6E2F">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596940A1">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29FA7AB">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0482792A">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46B038A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2948FD0F">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64DDD59">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278FB25">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47DC18A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2C6F7446">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007BB82E">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D31357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6356930B">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5A8DFCFB">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8908E8B">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56D6361D">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6E17D21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74A5E71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525B2B04">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5DDC841">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694ABF2D">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12CA951C">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40398497">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201CCD58">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CF1F635">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0433E5FD">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4E250E43">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7B6D61A4">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77B23875">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p>
    <w:p w14:paraId="35E7B60E">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b/>
          <w:bCs/>
          <w:color w:val="auto"/>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lang w:val="en-US" w:eastAsia="zh-CN"/>
        </w:rPr>
        <w:t>（四）派工单及确认单</w:t>
      </w:r>
    </w:p>
    <w:p w14:paraId="286FF7D8">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240" w:lineRule="auto"/>
        <w:ind w:firstLine="640" w:firstLineChars="0"/>
        <w:jc w:val="left"/>
        <w:textAlignment w:val="auto"/>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采购人以派工单的形式向供应商提出用工需求，派工单内容包括但不限于用工工种，用工人数，用工天数，要求完成的工作内容及时间节点等。以确认单形式确认实际用工。</w:t>
      </w:r>
    </w:p>
    <w:p w14:paraId="78B4318C">
      <w:pPr>
        <w:pStyle w:val="56"/>
        <w:pageBreakBefore w:val="0"/>
        <w:kinsoku/>
        <w:wordWrap/>
        <w:overflowPunct/>
        <w:topLinePunct w:val="0"/>
        <w:bidi w:val="0"/>
        <w:spacing w:line="560" w:lineRule="exact"/>
        <w:ind w:left="0" w:leftChars="0" w:firstLine="480" w:firstLineChars="200"/>
        <w:rPr>
          <w:rFonts w:hint="eastAsia" w:ascii="仿宋_GB2312" w:hAnsi="仿宋_GB2312" w:eastAsia="仿宋_GB2312" w:cs="仿宋_GB2312"/>
          <w:b/>
          <w:bCs/>
          <w:color w:val="auto"/>
          <w:sz w:val="32"/>
          <w:szCs w:val="32"/>
          <w:lang w:val="en-US" w:eastAsia="zh-CN"/>
        </w:rPr>
      </w:pPr>
      <w:r>
        <w:drawing>
          <wp:anchor distT="0" distB="0" distL="114300" distR="114300" simplePos="0" relativeHeight="251662336" behindDoc="0" locked="0" layoutInCell="1" allowOverlap="1">
            <wp:simplePos x="0" y="0"/>
            <wp:positionH relativeFrom="column">
              <wp:posOffset>-33020</wp:posOffset>
            </wp:positionH>
            <wp:positionV relativeFrom="paragraph">
              <wp:posOffset>124460</wp:posOffset>
            </wp:positionV>
            <wp:extent cx="5166360" cy="3967480"/>
            <wp:effectExtent l="0" t="0" r="15240" b="1397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tretch>
                      <a:fillRect/>
                    </a:stretch>
                  </pic:blipFill>
                  <pic:spPr>
                    <a:xfrm>
                      <a:off x="0" y="0"/>
                      <a:ext cx="5166360" cy="3967480"/>
                    </a:xfrm>
                    <a:prstGeom prst="rect">
                      <a:avLst/>
                    </a:prstGeom>
                    <a:noFill/>
                    <a:ln>
                      <a:noFill/>
                    </a:ln>
                  </pic:spPr>
                </pic:pic>
              </a:graphicData>
            </a:graphic>
          </wp:anchor>
        </w:drawing>
      </w:r>
    </w:p>
    <w:p w14:paraId="0E63C3A0">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F7177F9">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D4C0620">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47ECCA8B">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03E9717E">
      <w:pPr>
        <w:pStyle w:val="56"/>
        <w:pageBreakBefore w:val="0"/>
        <w:kinsoku/>
        <w:wordWrap/>
        <w:overflowPunct/>
        <w:topLinePunct w:val="0"/>
        <w:bidi w:val="0"/>
        <w:spacing w:line="560" w:lineRule="exact"/>
        <w:rPr>
          <w:rFonts w:hint="eastAsia" w:ascii="仿宋_GB2312" w:hAnsi="仿宋_GB2312" w:eastAsia="仿宋_GB2312" w:cs="仿宋_GB2312"/>
          <w:b/>
          <w:bCs/>
          <w:color w:val="auto"/>
          <w:sz w:val="32"/>
          <w:szCs w:val="32"/>
          <w:lang w:val="en-US" w:eastAsia="zh-CN"/>
        </w:rPr>
      </w:pPr>
    </w:p>
    <w:p w14:paraId="7EC00355">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1E2F63F3">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5A469938">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7585916B">
      <w:pPr>
        <w:pStyle w:val="56"/>
        <w:pageBreakBefore w:val="0"/>
        <w:kinsoku/>
        <w:wordWrap/>
        <w:overflowPunct/>
        <w:topLinePunct w:val="0"/>
        <w:bidi w:val="0"/>
        <w:spacing w:line="560" w:lineRule="exact"/>
        <w:ind w:left="0" w:leftChars="0" w:firstLine="643" w:firstLineChars="200"/>
        <w:rPr>
          <w:rFonts w:hint="eastAsia" w:ascii="仿宋_GB2312" w:hAnsi="仿宋_GB2312" w:eastAsia="仿宋_GB2312" w:cs="仿宋_GB2312"/>
          <w:b/>
          <w:bCs/>
          <w:color w:val="auto"/>
          <w:sz w:val="32"/>
          <w:szCs w:val="32"/>
          <w:lang w:val="en-US" w:eastAsia="zh-CN"/>
        </w:rPr>
      </w:pPr>
    </w:p>
    <w:p w14:paraId="6351F378">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4BC8E184">
      <w:pPr>
        <w:pStyle w:val="5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92" w:name="_Toc31677"/>
      <w:bookmarkStart w:id="93" w:name="_Toc16173"/>
      <w:r>
        <w:drawing>
          <wp:anchor distT="0" distB="0" distL="114300" distR="114300" simplePos="0" relativeHeight="251663360" behindDoc="0" locked="0" layoutInCell="1" allowOverlap="1">
            <wp:simplePos x="0" y="0"/>
            <wp:positionH relativeFrom="column">
              <wp:posOffset>-41910</wp:posOffset>
            </wp:positionH>
            <wp:positionV relativeFrom="paragraph">
              <wp:posOffset>288290</wp:posOffset>
            </wp:positionV>
            <wp:extent cx="5132070" cy="3641090"/>
            <wp:effectExtent l="0" t="0" r="11430" b="1651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tretch>
                      <a:fillRect/>
                    </a:stretch>
                  </pic:blipFill>
                  <pic:spPr>
                    <a:xfrm>
                      <a:off x="0" y="0"/>
                      <a:ext cx="5132070" cy="3641090"/>
                    </a:xfrm>
                    <a:prstGeom prst="rect">
                      <a:avLst/>
                    </a:prstGeom>
                    <a:noFill/>
                    <a:ln>
                      <a:noFill/>
                    </a:ln>
                  </pic:spPr>
                </pic:pic>
              </a:graphicData>
            </a:graphic>
          </wp:anchor>
        </w:drawing>
      </w:r>
    </w:p>
    <w:p w14:paraId="2831B0B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724D89F">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DC6B354">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ECD6693">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5FE11F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ED0CFE4">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202797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F7940F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765F95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EBD80D4">
      <w:pPr>
        <w:pStyle w:val="56"/>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3A8BC6D6">
      <w:pPr>
        <w:pStyle w:val="56"/>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2788C6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A354B7B">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94" w:name="_Toc4091"/>
      <w:bookmarkStart w:id="95" w:name="_Toc17475"/>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2"/>
      <w:bookmarkEnd w:id="93"/>
      <w:bookmarkEnd w:id="94"/>
      <w:bookmarkEnd w:id="95"/>
    </w:p>
    <w:p w14:paraId="20F3FCCC">
      <w:pPr>
        <w:pStyle w:val="40"/>
        <w:numPr>
          <w:ilvl w:val="0"/>
          <w:numId w:val="0"/>
        </w:numPr>
        <w:ind w:leftChars="400"/>
        <w:rPr>
          <w:rFonts w:hint="eastAsia"/>
          <w:color w:val="auto"/>
        </w:rPr>
      </w:pPr>
    </w:p>
    <w:p w14:paraId="68F84592">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627B2435">
      <w:pPr>
        <w:pStyle w:val="40"/>
        <w:rPr>
          <w:rFonts w:hint="eastAsia" w:ascii="仿宋_GB2312" w:hAnsi="仿宋_GB2312" w:eastAsia="仿宋_GB2312" w:cs="仿宋_GB2312"/>
          <w:color w:val="auto"/>
          <w:sz w:val="32"/>
          <w:szCs w:val="32"/>
        </w:rPr>
      </w:pPr>
    </w:p>
    <w:p w14:paraId="565F535E">
      <w:pPr>
        <w:pStyle w:val="39"/>
        <w:rPr>
          <w:rFonts w:hint="eastAsia" w:ascii="仿宋_GB2312" w:hAnsi="仿宋_GB2312" w:eastAsia="仿宋_GB2312" w:cs="仿宋_GB2312"/>
          <w:color w:val="auto"/>
          <w:sz w:val="32"/>
          <w:szCs w:val="32"/>
        </w:rPr>
      </w:pPr>
    </w:p>
    <w:p w14:paraId="45B1A1BD">
      <w:pPr>
        <w:pStyle w:val="2"/>
        <w:rPr>
          <w:rFonts w:hint="eastAsia" w:ascii="仿宋_GB2312" w:hAnsi="仿宋_GB2312" w:eastAsia="仿宋_GB2312" w:cs="仿宋_GB2312"/>
          <w:color w:val="auto"/>
          <w:sz w:val="32"/>
          <w:szCs w:val="32"/>
        </w:rPr>
      </w:pPr>
    </w:p>
    <w:p w14:paraId="6E705827">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020ED44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3C98DDD">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6E9BA6A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3291D39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686160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9051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赣州旅投建设集团有限公司2025年度建筑施工劳务外包服务</w:t>
      </w:r>
      <w:r>
        <w:rPr>
          <w:rFonts w:hint="eastAsia" w:ascii="仿宋_GB2312" w:hAnsi="仿宋_GB2312" w:eastAsia="仿宋_GB2312" w:cs="仿宋_GB2312"/>
          <w:color w:val="auto"/>
          <w:sz w:val="32"/>
          <w:szCs w:val="32"/>
          <w:lang w:val="en-US" w:eastAsia="zh-CN"/>
        </w:rPr>
        <w:t xml:space="preserve">   </w:t>
      </w:r>
    </w:p>
    <w:p w14:paraId="7CD08D9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6229B675">
      <w:pPr>
        <w:pStyle w:val="40"/>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37301FE5">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543963A5">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1CCAA42A">
      <w:pPr>
        <w:pStyle w:val="39"/>
        <w:ind w:left="0" w:leftChars="0" w:firstLine="0" w:firstLineChars="0"/>
        <w:rPr>
          <w:rFonts w:hint="eastAsia"/>
          <w:color w:val="auto"/>
        </w:rPr>
      </w:pPr>
    </w:p>
    <w:p w14:paraId="146815FB">
      <w:pPr>
        <w:pStyle w:val="2"/>
        <w:rPr>
          <w:rFonts w:hint="eastAsia"/>
          <w:color w:val="auto"/>
        </w:rPr>
      </w:pPr>
    </w:p>
    <w:p w14:paraId="39433ECB">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96" w:name="_Toc15628"/>
      <w:r>
        <w:rPr>
          <w:rFonts w:hint="eastAsia" w:ascii="仿宋_GB2312" w:hAnsi="仿宋_GB2312" w:eastAsia="仿宋_GB2312" w:cs="仿宋_GB2312"/>
          <w:b/>
          <w:bCs/>
          <w:color w:val="auto"/>
          <w:sz w:val="32"/>
          <w:szCs w:val="32"/>
        </w:rPr>
        <w:br w:type="page"/>
      </w:r>
    </w:p>
    <w:p w14:paraId="32510B84">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97" w:name="_Toc225736598"/>
      <w:bookmarkStart w:id="98" w:name="_Toc11675"/>
      <w:bookmarkStart w:id="99" w:name="_Toc30091"/>
      <w:bookmarkStart w:id="100" w:name="_Toc28471"/>
      <w:bookmarkStart w:id="101" w:name="_Toc24735"/>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97"/>
      <w:r>
        <w:rPr>
          <w:rFonts w:hint="eastAsia" w:ascii="黑体" w:hAnsi="黑体" w:eastAsia="黑体" w:cs="黑体"/>
          <w:b w:val="0"/>
          <w:bCs w:val="0"/>
          <w:color w:val="auto"/>
          <w:sz w:val="32"/>
          <w:szCs w:val="32"/>
        </w:rPr>
        <w:t>函</w:t>
      </w:r>
      <w:bookmarkEnd w:id="96"/>
      <w:bookmarkEnd w:id="98"/>
      <w:bookmarkEnd w:id="99"/>
      <w:bookmarkEnd w:id="100"/>
      <w:bookmarkEnd w:id="101"/>
    </w:p>
    <w:p w14:paraId="6D56FE5B">
      <w:pPr>
        <w:pStyle w:val="40"/>
        <w:numPr>
          <w:ilvl w:val="0"/>
          <w:numId w:val="0"/>
        </w:numPr>
        <w:ind w:leftChars="400"/>
        <w:rPr>
          <w:rFonts w:hint="eastAsia"/>
          <w:color w:val="auto"/>
        </w:rPr>
      </w:pPr>
    </w:p>
    <w:p w14:paraId="3EDBEAFD">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sz w:val="32"/>
          <w:szCs w:val="32"/>
          <w:u w:val="none"/>
          <w:lang w:val="en-US" w:eastAsia="zh-CN"/>
        </w:rPr>
        <w:t>：</w:t>
      </w:r>
    </w:p>
    <w:p w14:paraId="086786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赣州旅投建设集团有限公司2025年度建筑施工劳务外包服务</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22B4860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305A7A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1327488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1087822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57BE467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5A34D821">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629093D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1513D44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6978FE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603303B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6A3176B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b/>
          <w:bCs/>
          <w:color w:val="auto"/>
          <w:kern w:val="0"/>
          <w:sz w:val="32"/>
          <w:szCs w:val="32"/>
        </w:rPr>
        <w:t>:</w:t>
      </w:r>
    </w:p>
    <w:p w14:paraId="020ED76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3F800E5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43EB5997">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2" w:name="_Toc270413359"/>
      <w:bookmarkStart w:id="103" w:name="_Toc416256689"/>
      <w:bookmarkStart w:id="104" w:name="_Toc225736599"/>
    </w:p>
    <w:p w14:paraId="7BDD6E72">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5" w:name="_Toc21293"/>
      <w:bookmarkStart w:id="106" w:name="_Toc21154"/>
      <w:bookmarkStart w:id="107" w:name="_Toc25357"/>
      <w:bookmarkStart w:id="108" w:name="_Toc17630"/>
      <w:bookmarkStart w:id="109" w:name="_Toc14308"/>
      <w:bookmarkStart w:id="110" w:name="_Toc476083429"/>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05"/>
      <w:bookmarkEnd w:id="106"/>
      <w:bookmarkEnd w:id="107"/>
      <w:bookmarkEnd w:id="108"/>
      <w:bookmarkEnd w:id="109"/>
      <w:bookmarkEnd w:id="110"/>
    </w:p>
    <w:p w14:paraId="6E79C717">
      <w:pPr>
        <w:pStyle w:val="40"/>
        <w:numPr>
          <w:ilvl w:val="0"/>
          <w:numId w:val="0"/>
        </w:numPr>
        <w:ind w:leftChars="200"/>
        <w:rPr>
          <w:rFonts w:hint="eastAsia"/>
          <w:color w:val="auto"/>
        </w:rPr>
      </w:pPr>
    </w:p>
    <w:p w14:paraId="4B123A3A">
      <w:pPr>
        <w:pStyle w:val="2"/>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kern w:val="2"/>
          <w:sz w:val="32"/>
          <w:szCs w:val="32"/>
          <w:lang w:val="en-US" w:eastAsia="zh-CN" w:bidi="ar-SA"/>
        </w:rPr>
        <w:t>：</w:t>
      </w:r>
    </w:p>
    <w:p w14:paraId="50852434">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仿宋_GB2312" w:eastAsia="仿宋_GB2312" w:cs="仿宋_GB2312"/>
          <w:color w:val="auto"/>
          <w:kern w:val="2"/>
          <w:sz w:val="32"/>
          <w:szCs w:val="32"/>
          <w:u w:val="single"/>
          <w:lang w:val="en-US" w:eastAsia="zh-CN" w:bidi="ar-SA"/>
        </w:rPr>
        <w:t>赣州旅投建设集团有限公司2025年度建筑施工劳务外包服务</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5E0FCFA7">
      <w:pPr>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val="0"/>
          <w:color w:val="auto"/>
          <w:kern w:val="2"/>
          <w:sz w:val="32"/>
          <w:szCs w:val="32"/>
          <w:lang w:val="en-US" w:eastAsia="zh-CN" w:bidi="ar"/>
        </w:rPr>
      </w:pPr>
      <w:r>
        <w:rPr>
          <w:rFonts w:hint="default" w:ascii="仿宋_GB2312" w:hAnsi="Calibri" w:eastAsia="仿宋_GB2312" w:cs="仿宋_GB2312"/>
          <w:bCs/>
          <w:kern w:val="0"/>
          <w:sz w:val="32"/>
          <w:szCs w:val="32"/>
          <w:lang w:val="en-US" w:eastAsia="zh-CN" w:bidi="ar"/>
        </w:rPr>
        <w:t>我方愿意以</w:t>
      </w:r>
      <w:r>
        <w:rPr>
          <w:rFonts w:hint="eastAsia" w:ascii="仿宋_GB2312" w:hAnsi="Calibri" w:eastAsia="仿宋_GB2312" w:cs="仿宋_GB2312"/>
          <w:bCs/>
          <w:kern w:val="0"/>
          <w:sz w:val="32"/>
          <w:szCs w:val="32"/>
          <w:lang w:val="en-US" w:eastAsia="zh-CN" w:bidi="ar"/>
        </w:rPr>
        <w:t>管理费</w:t>
      </w:r>
      <w:r>
        <w:rPr>
          <w:rFonts w:hint="default" w:ascii="仿宋_GB2312" w:hAnsi="Calibri" w:eastAsia="仿宋_GB2312" w:cs="仿宋_GB2312"/>
          <w:bCs/>
          <w:kern w:val="0"/>
          <w:sz w:val="32"/>
          <w:szCs w:val="32"/>
          <w:lang w:val="en-US" w:eastAsia="zh-CN" w:bidi="ar"/>
        </w:rPr>
        <w:t>费率</w:t>
      </w:r>
      <w:r>
        <w:rPr>
          <w:rFonts w:hint="default" w:ascii="仿宋_GB2312" w:hAnsi="Calibri" w:eastAsia="仿宋_GB2312" w:cs="仿宋_GB2312"/>
          <w:bCs/>
          <w:kern w:val="0"/>
          <w:sz w:val="32"/>
          <w:szCs w:val="32"/>
          <w:u w:val="single"/>
          <w:lang w:val="en-US" w:eastAsia="zh-CN" w:bidi="ar"/>
        </w:rPr>
        <w:t xml:space="preserve">        </w:t>
      </w:r>
      <w:r>
        <w:rPr>
          <w:rFonts w:hint="default" w:ascii="仿宋_GB2312" w:hAnsi="Calibri" w:eastAsia="仿宋_GB2312" w:cs="仿宋_GB2312"/>
          <w:bCs/>
          <w:kern w:val="0"/>
          <w:sz w:val="32"/>
          <w:szCs w:val="32"/>
          <w:lang w:val="en-US" w:eastAsia="zh-CN" w:bidi="ar"/>
        </w:rPr>
        <w:t>%（精确到小数点后两位）承</w:t>
      </w:r>
      <w:r>
        <w:rPr>
          <w:rFonts w:hint="eastAsia" w:ascii="仿宋_GB2312" w:hAnsi="Calibri" w:eastAsia="仿宋_GB2312" w:cs="仿宋_GB2312"/>
          <w:bCs/>
          <w:kern w:val="0"/>
          <w:sz w:val="32"/>
          <w:szCs w:val="32"/>
          <w:lang w:val="en-US" w:eastAsia="zh-CN" w:bidi="ar"/>
        </w:rPr>
        <w:t>接</w:t>
      </w:r>
      <w:r>
        <w:rPr>
          <w:rFonts w:hint="default" w:ascii="仿宋_GB2312" w:hAnsi="Calibri" w:eastAsia="仿宋_GB2312" w:cs="仿宋_GB2312"/>
          <w:bCs/>
          <w:kern w:val="0"/>
          <w:sz w:val="32"/>
          <w:szCs w:val="32"/>
          <w:lang w:val="en-US" w:eastAsia="zh-CN" w:bidi="ar"/>
        </w:rPr>
        <w:t>赣州旅投建设集团有限公司2025年度建筑施工劳务外包服务，</w:t>
      </w:r>
      <w:r>
        <w:rPr>
          <w:rFonts w:hint="eastAsia" w:ascii="仿宋_GB2312" w:hAnsi="仿宋_GB2312" w:eastAsia="仿宋_GB2312" w:cs="仿宋_GB2312"/>
          <w:bCs w:val="0"/>
          <w:color w:val="auto"/>
          <w:kern w:val="2"/>
          <w:sz w:val="32"/>
          <w:szCs w:val="32"/>
          <w:lang w:val="en-US" w:eastAsia="zh-CN" w:bidi="ar"/>
        </w:rPr>
        <w:t>税率为</w:t>
      </w:r>
      <w:r>
        <w:rPr>
          <w:rFonts w:hint="eastAsia" w:ascii="仿宋_GB2312" w:hAnsi="仿宋_GB2312" w:eastAsia="仿宋_GB2312" w:cs="仿宋_GB2312"/>
          <w:bCs w:val="0"/>
          <w:color w:val="auto"/>
          <w:kern w:val="2"/>
          <w:sz w:val="32"/>
          <w:szCs w:val="32"/>
          <w:u w:val="none"/>
          <w:lang w:val="en-US" w:eastAsia="zh-CN" w:bidi="ar"/>
        </w:rPr>
        <w:t xml:space="preserve">    </w:t>
      </w:r>
      <w:r>
        <w:rPr>
          <w:rFonts w:hint="eastAsia" w:ascii="仿宋_GB2312" w:hAnsi="仿宋_GB2312" w:eastAsia="仿宋_GB2312" w:cs="仿宋_GB2312"/>
          <w:bCs w:val="0"/>
          <w:color w:val="auto"/>
          <w:kern w:val="2"/>
          <w:sz w:val="32"/>
          <w:szCs w:val="32"/>
          <w:lang w:val="en-US" w:eastAsia="zh-CN" w:bidi="ar"/>
        </w:rPr>
        <w:t>%,提供增值税专用发票。</w:t>
      </w:r>
    </w:p>
    <w:p w14:paraId="3DD335BB">
      <w:pPr>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val="0"/>
          <w:color w:val="auto"/>
          <w:kern w:val="2"/>
          <w:sz w:val="32"/>
          <w:szCs w:val="32"/>
          <w:lang w:val="en-US" w:eastAsia="zh-CN" w:bidi="ar"/>
        </w:rPr>
      </w:pPr>
      <w:r>
        <w:rPr>
          <w:rFonts w:hint="eastAsia" w:ascii="仿宋_GB2312" w:hAnsi="仿宋_GB2312" w:eastAsia="仿宋_GB2312" w:cs="仿宋_GB2312"/>
          <w:kern w:val="2"/>
          <w:sz w:val="32"/>
          <w:szCs w:val="32"/>
          <w:lang w:val="en-US" w:eastAsia="zh-CN" w:bidi="zh-CN"/>
        </w:rPr>
        <w:t>劳务</w:t>
      </w:r>
      <w:r>
        <w:rPr>
          <w:rFonts w:hint="eastAsia" w:ascii="仿宋_GB2312" w:hAnsi="仿宋_GB2312" w:eastAsia="仿宋_GB2312" w:cs="仿宋_GB2312"/>
          <w:b w:val="0"/>
          <w:bCs w:val="0"/>
          <w:kern w:val="2"/>
          <w:sz w:val="32"/>
          <w:szCs w:val="32"/>
          <w:lang w:val="en-US" w:eastAsia="zh-CN" w:bidi="zh-CN"/>
        </w:rPr>
        <w:t>服务费用</w:t>
      </w:r>
      <w:r>
        <w:rPr>
          <w:rFonts w:hint="eastAsia" w:ascii="仿宋_GB2312" w:hAnsi="仿宋_GB2312" w:eastAsia="仿宋_GB2312" w:cs="仿宋_GB2312"/>
          <w:kern w:val="2"/>
          <w:sz w:val="32"/>
          <w:szCs w:val="32"/>
          <w:lang w:val="en-US" w:eastAsia="zh-CN" w:bidi="zh-CN"/>
        </w:rPr>
        <w:t>=（劳务费用+管理费）*（1+增值税</w:t>
      </w:r>
      <w:r>
        <w:rPr>
          <w:rFonts w:hint="eastAsia" w:ascii="仿宋_GB2312" w:hAnsi="仿宋_GB2312" w:eastAsia="仿宋_GB2312" w:cs="仿宋_GB2312"/>
          <w:color w:val="auto"/>
          <w:kern w:val="2"/>
          <w:sz w:val="32"/>
          <w:szCs w:val="32"/>
          <w:lang w:val="en-US" w:eastAsia="zh-CN" w:bidi="zh-CN"/>
        </w:rPr>
        <w:t>专票票面税率）-其他应扣款，其中劳务费用=∑计日工人数*用工天数*费用标准+∑计月工人数*费用标准+∑计量工*工程量，管理费=劳务费用*管理费费率。</w:t>
      </w:r>
    </w:p>
    <w:p w14:paraId="29B33FC2">
      <w:pPr>
        <w:keepNext w:val="0"/>
        <w:keepLines w:val="0"/>
        <w:pageBreakBefore w:val="0"/>
        <w:kinsoku/>
        <w:wordWrap/>
        <w:overflowPunct/>
        <w:topLinePunct w:val="0"/>
        <w:autoSpaceDE/>
        <w:autoSpaceDN/>
        <w:bidi w:val="0"/>
        <w:adjustRightInd/>
        <w:spacing w:line="560" w:lineRule="exact"/>
        <w:ind w:leftChars="0" w:firstLine="640" w:firstLineChars="200"/>
        <w:jc w:val="left"/>
        <w:textAlignment w:val="auto"/>
        <w:rPr>
          <w:rFonts w:hint="eastAsia" w:ascii="仿宋_GB2312" w:hAnsi="仿宋_GB2312" w:eastAsia="仿宋_GB2312" w:cs="仿宋_GB2312"/>
          <w:b w:val="0"/>
          <w:bCs w:val="0"/>
          <w:color w:val="auto"/>
          <w:kern w:val="2"/>
          <w:sz w:val="32"/>
          <w:szCs w:val="32"/>
          <w:highlight w:val="none"/>
          <w:u w:val="none"/>
          <w:lang w:val="en-US" w:eastAsia="zh-CN" w:bidi="ar-SA"/>
        </w:rPr>
      </w:pPr>
      <w:r>
        <w:rPr>
          <w:rFonts w:hint="eastAsia" w:ascii="仿宋_GB2312" w:hAnsi="仿宋_GB2312" w:eastAsia="仿宋_GB2312" w:cs="仿宋_GB2312"/>
          <w:color w:val="auto"/>
          <w:kern w:val="2"/>
          <w:sz w:val="32"/>
          <w:szCs w:val="32"/>
          <w:lang w:val="en-US" w:eastAsia="zh-CN" w:bidi="zh-CN"/>
        </w:rPr>
        <w:t>该报价包括但不限于为完成本项目服务所需劳务人员的劳务费用、保险购买费用、管理费、税金、利润等其他全部费用</w:t>
      </w:r>
      <w:r>
        <w:rPr>
          <w:rFonts w:hint="eastAsia" w:ascii="仿宋_GB2312" w:hAnsi="仿宋_GB2312" w:eastAsia="仿宋_GB2312" w:cs="仿宋_GB2312"/>
          <w:b w:val="0"/>
          <w:bCs w:val="0"/>
          <w:color w:val="auto"/>
          <w:kern w:val="2"/>
          <w:sz w:val="32"/>
          <w:szCs w:val="32"/>
          <w:highlight w:val="none"/>
          <w:u w:val="none"/>
          <w:lang w:val="en-US" w:eastAsia="zh-CN" w:bidi="ar-SA"/>
        </w:rPr>
        <w:t>。</w:t>
      </w:r>
    </w:p>
    <w:p w14:paraId="0F6FCE95">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15007048">
      <w:pPr>
        <w:pStyle w:val="6"/>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648012F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4B80E78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59BF294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623792F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77417C1E">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1" w:name="_Toc476083430"/>
      <w:bookmarkStart w:id="112" w:name="_Toc10621"/>
    </w:p>
    <w:bookmarkEnd w:id="102"/>
    <w:bookmarkEnd w:id="103"/>
    <w:bookmarkEnd w:id="104"/>
    <w:bookmarkEnd w:id="111"/>
    <w:bookmarkEnd w:id="112"/>
    <w:p w14:paraId="2B5A497D">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3" w:name="_Toc372709279"/>
      <w:bookmarkStart w:id="114" w:name="_Toc416256692"/>
    </w:p>
    <w:bookmarkEnd w:id="113"/>
    <w:bookmarkEnd w:id="114"/>
    <w:p w14:paraId="0A1D3834">
      <w:pPr>
        <w:pageBreakBefore w:val="0"/>
        <w:numPr>
          <w:ilvl w:val="0"/>
          <w:numId w:val="0"/>
        </w:numPr>
        <w:kinsoku/>
        <w:wordWrap/>
        <w:overflowPunct/>
        <w:topLinePunct w:val="0"/>
        <w:bidi w:val="0"/>
        <w:spacing w:line="560" w:lineRule="exact"/>
        <w:jc w:val="center"/>
        <w:outlineLvl w:val="1"/>
        <w:rPr>
          <w:rFonts w:hint="default" w:ascii="黑体" w:hAnsi="黑体" w:eastAsia="黑体" w:cs="黑体"/>
          <w:b w:val="0"/>
          <w:bCs w:val="0"/>
          <w:color w:val="auto"/>
          <w:sz w:val="32"/>
          <w:szCs w:val="32"/>
          <w:highlight w:val="none"/>
          <w:lang w:val="en-US" w:eastAsia="zh-CN"/>
        </w:rPr>
      </w:pPr>
      <w:bookmarkStart w:id="115" w:name="_Toc8460"/>
      <w:bookmarkStart w:id="116" w:name="_Toc7954"/>
      <w:bookmarkStart w:id="117" w:name="_Toc17514"/>
      <w:bookmarkStart w:id="118" w:name="_Toc26748"/>
      <w:bookmarkStart w:id="119" w:name="_Toc8354"/>
      <w:bookmarkStart w:id="120" w:name="_Toc28265"/>
      <w:bookmarkStart w:id="121" w:name="_Toc5155"/>
      <w:bookmarkStart w:id="122" w:name="_Toc476083434"/>
      <w:bookmarkStart w:id="123" w:name="_Toc416256693"/>
      <w:bookmarkStart w:id="124" w:name="_Toc372709280"/>
      <w:r>
        <w:rPr>
          <w:rFonts w:hint="eastAsia" w:ascii="黑体" w:hAnsi="黑体" w:eastAsia="黑体" w:cs="黑体"/>
          <w:b w:val="0"/>
          <w:bCs w:val="0"/>
          <w:color w:val="auto"/>
          <w:sz w:val="32"/>
          <w:szCs w:val="32"/>
          <w:highlight w:val="none"/>
          <w:lang w:val="en-US" w:eastAsia="zh-CN"/>
        </w:rPr>
        <w:t>三、</w:t>
      </w:r>
      <w:bookmarkEnd w:id="115"/>
      <w:bookmarkEnd w:id="116"/>
      <w:r>
        <w:rPr>
          <w:rFonts w:hint="eastAsia" w:ascii="黑体" w:hAnsi="黑体" w:eastAsia="黑体" w:cs="黑体"/>
          <w:b w:val="0"/>
          <w:bCs w:val="0"/>
          <w:color w:val="auto"/>
          <w:sz w:val="32"/>
          <w:szCs w:val="32"/>
          <w:highlight w:val="none"/>
          <w:lang w:val="en-US" w:eastAsia="zh-CN"/>
        </w:rPr>
        <w:t>业绩证明材料</w:t>
      </w:r>
    </w:p>
    <w:p w14:paraId="3BE9D22E">
      <w:pPr>
        <w:pageBreakBefore w:val="0"/>
        <w:kinsoku/>
        <w:wordWrap/>
        <w:overflowPunct/>
        <w:topLinePunct w:val="0"/>
        <w:bidi w:val="0"/>
        <w:spacing w:line="560" w:lineRule="exact"/>
        <w:ind w:left="0" w:leftChars="0" w:firstLine="640" w:firstLineChars="200"/>
        <w:jc w:val="left"/>
        <w:outlineLvl w:val="1"/>
        <w:rPr>
          <w:rFonts w:hint="eastAsia" w:ascii="黑体" w:hAnsi="黑体" w:eastAsia="黑体" w:cs="黑体"/>
          <w:b w:val="0"/>
          <w:bCs w:val="0"/>
          <w:color w:val="auto"/>
          <w:sz w:val="32"/>
          <w:szCs w:val="32"/>
          <w:lang w:val="en-US" w:eastAsia="zh-CN"/>
        </w:rPr>
      </w:pPr>
      <w:r>
        <w:rPr>
          <w:rFonts w:hint="eastAsia" w:ascii="仿宋_GB2312" w:hAnsi="仿宋_GB2312" w:eastAsia="仿宋_GB2312" w:cs="仿宋_GB2312"/>
          <w:color w:val="auto"/>
          <w:kern w:val="0"/>
          <w:sz w:val="32"/>
          <w:szCs w:val="32"/>
          <w:u w:val="none"/>
          <w:lang w:val="en-US" w:eastAsia="zh-CN" w:bidi="ar"/>
        </w:rPr>
        <w:t>供应商具备提供零星维修、应急赶工等劳务服务的能力，在 2020年3月1日以后至少承接过两个零星维修或应急赶工劳务服务类似业绩，类似业绩证明材料：提供承接合同复印件并加盖供应商公章，承接合同内服务内容必须包含零星维修或应急赶工等内容。</w:t>
      </w:r>
    </w:p>
    <w:p w14:paraId="2DAB0D1F">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64416AA">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6F8248A6">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56B60693">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35A7BF27">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B0AFD62">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391A9F63">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573D652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5835DEBD">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6A478B1B">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02DD550D">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2D2FD251">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1B0FA0D9">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6F54D150">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7E227575">
      <w:pPr>
        <w:pStyle w:val="14"/>
        <w:rPr>
          <w:rFonts w:hint="eastAsia" w:ascii="黑体" w:hAnsi="黑体" w:eastAsia="黑体" w:cs="黑体"/>
          <w:b w:val="0"/>
          <w:bCs w:val="0"/>
          <w:color w:val="auto"/>
          <w:sz w:val="32"/>
          <w:szCs w:val="32"/>
          <w:lang w:val="en-US" w:eastAsia="zh-CN"/>
        </w:rPr>
      </w:pPr>
    </w:p>
    <w:p w14:paraId="3E03BFEA">
      <w:pPr>
        <w:rPr>
          <w:rFonts w:hint="eastAsia" w:ascii="黑体" w:hAnsi="黑体" w:eastAsia="黑体" w:cs="黑体"/>
          <w:b w:val="0"/>
          <w:bCs w:val="0"/>
          <w:color w:val="auto"/>
          <w:sz w:val="32"/>
          <w:szCs w:val="32"/>
          <w:lang w:val="en-US" w:eastAsia="zh-CN"/>
        </w:rPr>
      </w:pPr>
    </w:p>
    <w:p w14:paraId="0C88A34E">
      <w:pPr>
        <w:pStyle w:val="14"/>
        <w:rPr>
          <w:rFonts w:hint="eastAsia" w:ascii="黑体" w:hAnsi="黑体" w:eastAsia="黑体" w:cs="黑体"/>
          <w:b w:val="0"/>
          <w:bCs w:val="0"/>
          <w:color w:val="auto"/>
          <w:sz w:val="32"/>
          <w:szCs w:val="32"/>
          <w:lang w:val="en-US" w:eastAsia="zh-CN"/>
        </w:rPr>
      </w:pPr>
    </w:p>
    <w:p w14:paraId="32917FE2">
      <w:pPr>
        <w:rPr>
          <w:rFonts w:hint="eastAsia" w:ascii="黑体" w:hAnsi="黑体" w:eastAsia="黑体" w:cs="黑体"/>
          <w:b w:val="0"/>
          <w:bCs w:val="0"/>
          <w:color w:val="auto"/>
          <w:sz w:val="32"/>
          <w:szCs w:val="32"/>
          <w:lang w:val="en-US" w:eastAsia="zh-CN"/>
        </w:rPr>
      </w:pPr>
    </w:p>
    <w:p w14:paraId="3E8705D9">
      <w:pPr>
        <w:pStyle w:val="14"/>
        <w:rPr>
          <w:rFonts w:hint="eastAsia" w:ascii="黑体" w:hAnsi="黑体" w:eastAsia="黑体" w:cs="黑体"/>
          <w:b w:val="0"/>
          <w:bCs w:val="0"/>
          <w:color w:val="auto"/>
          <w:sz w:val="32"/>
          <w:szCs w:val="32"/>
          <w:lang w:val="en-US" w:eastAsia="zh-CN"/>
        </w:rPr>
      </w:pPr>
    </w:p>
    <w:p w14:paraId="3F13065C">
      <w:pPr>
        <w:rPr>
          <w:rFonts w:hint="eastAsia"/>
          <w:lang w:val="en-US" w:eastAsia="zh-CN"/>
        </w:rPr>
      </w:pPr>
    </w:p>
    <w:p w14:paraId="6E87AB4C">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、法定代表人授权书</w:t>
      </w:r>
      <w:bookmarkEnd w:id="117"/>
      <w:bookmarkEnd w:id="118"/>
      <w:bookmarkEnd w:id="119"/>
      <w:bookmarkEnd w:id="120"/>
      <w:bookmarkEnd w:id="121"/>
      <w:bookmarkEnd w:id="122"/>
    </w:p>
    <w:p w14:paraId="6BC9E16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7ED9C72">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赣州旅投建设集团有限公司</w:t>
      </w:r>
      <w:r>
        <w:rPr>
          <w:rFonts w:hint="eastAsia" w:ascii="仿宋_GB2312" w:hAnsi="仿宋_GB2312" w:eastAsia="仿宋_GB2312" w:cs="仿宋_GB2312"/>
          <w:color w:val="auto"/>
          <w:sz w:val="32"/>
          <w:szCs w:val="32"/>
        </w:rPr>
        <w:t xml:space="preserve"> </w:t>
      </w:r>
    </w:p>
    <w:p w14:paraId="691E4F0D">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color w:val="auto"/>
          <w:sz w:val="32"/>
          <w:szCs w:val="32"/>
          <w:u w:val="single"/>
          <w:lang w:val="en-US" w:eastAsia="zh-CN"/>
        </w:rPr>
        <w:t>赣州旅投建设集团有限公司2025年度建筑施工劳务外包服务</w:t>
      </w:r>
      <w:r>
        <w:rPr>
          <w:rFonts w:hint="eastAsia" w:ascii="仿宋_GB2312" w:hAnsi="仿宋_GB2312" w:eastAsia="仿宋_GB2312" w:cs="仿宋_GB2312"/>
          <w:b w:val="0"/>
          <w:bCs w:val="0"/>
          <w:color w:val="auto"/>
          <w:sz w:val="32"/>
          <w:szCs w:val="32"/>
          <w:u w:val="none"/>
          <w:lang w:val="en-US" w:eastAsia="zh-CN"/>
        </w:rPr>
        <w:t>项目</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6C15408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BD6BAE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4FB3BFA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3C93063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7F767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27289BF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05DB6C8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60F5146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0989801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7992237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5CC28E5A">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0778BF1C">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46A2E905">
      <w:pPr>
        <w:pStyle w:val="6"/>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07EF09A">
      <w:pPr>
        <w:pStyle w:val="6"/>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2B7698F">
      <w:pPr>
        <w:pStyle w:val="6"/>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5" w:name="_Toc11683"/>
    </w:p>
    <w:tbl>
      <w:tblPr>
        <w:tblStyle w:val="41"/>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2722FE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0C6CE81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4E91899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7AA02399">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4436983F">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884A1B5">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BC55BB1">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55651A14">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7B113066">
            <w:pPr>
              <w:pStyle w:val="39"/>
              <w:rPr>
                <w:rFonts w:hint="eastAsia"/>
                <w:color w:val="auto"/>
              </w:rPr>
            </w:pPr>
          </w:p>
          <w:p w14:paraId="6D56BDE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E5625E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287F165">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tc>
      </w:tr>
      <w:tr w14:paraId="2F8D9D4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7AD6FAA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78A018EB">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78C98B3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6B1792A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7A9C71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FA4F07C">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02BD2C07">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304A11FB">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4F15C96D">
            <w:pPr>
              <w:pStyle w:val="3"/>
              <w:pageBreakBefore w:val="0"/>
              <w:numPr>
                <w:ilvl w:val="0"/>
                <w:numId w:val="0"/>
              </w:numPr>
              <w:kinsoku/>
              <w:wordWrap/>
              <w:overflowPunct/>
              <w:topLinePunct w:val="0"/>
              <w:bidi w:val="0"/>
              <w:spacing w:before="0" w:after="0" w:line="560" w:lineRule="exact"/>
              <w:ind w:left="0" w:leftChars="0" w:firstLine="640" w:firstLineChars="200"/>
              <w:outlineLvl w:val="9"/>
              <w:rPr>
                <w:rFonts w:hint="eastAsia" w:ascii="仿宋_GB2312" w:hAnsi="仿宋_GB2312" w:eastAsia="仿宋_GB2312" w:cs="仿宋_GB2312"/>
                <w:color w:val="auto"/>
                <w:sz w:val="32"/>
                <w:szCs w:val="32"/>
              </w:rPr>
            </w:pPr>
          </w:p>
          <w:p w14:paraId="5B073CED">
            <w:pPr>
              <w:rPr>
                <w:rFonts w:hint="eastAsia"/>
                <w:color w:val="auto"/>
              </w:rPr>
            </w:pPr>
          </w:p>
          <w:p w14:paraId="19DC640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tc>
      </w:tr>
    </w:tbl>
    <w:p w14:paraId="460F12EF">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1D30AD4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26" w:name="_Toc4521"/>
      <w:bookmarkStart w:id="127" w:name="_Toc29158"/>
      <w:bookmarkStart w:id="128" w:name="_Toc26547"/>
    </w:p>
    <w:p w14:paraId="1D9BBF3A">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29" w:name="_Toc25009"/>
      <w:bookmarkStart w:id="130" w:name="_Toc14413"/>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highlight w:val="none"/>
        </w:rPr>
        <w:t>商务条款响应/偏离表格式</w:t>
      </w:r>
      <w:bookmarkEnd w:id="126"/>
      <w:bookmarkEnd w:id="127"/>
      <w:bookmarkEnd w:id="128"/>
      <w:bookmarkEnd w:id="129"/>
      <w:bookmarkEnd w:id="130"/>
    </w:p>
    <w:p w14:paraId="1B7B084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u w:val="single"/>
          <w:lang w:val="en-US" w:eastAsia="zh-CN"/>
        </w:rPr>
        <w:t>赣州旅投建设集团有限公司2025年度建筑施工劳务外包服务</w:t>
      </w:r>
    </w:p>
    <w:p w14:paraId="29DA254C">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1" w:name="_Toc10739"/>
      <w:bookmarkStart w:id="132" w:name="_Toc29271"/>
      <w:bookmarkStart w:id="133" w:name="_Toc29740"/>
      <w:bookmarkStart w:id="134" w:name="_Toc23737"/>
      <w:bookmarkStart w:id="135" w:name="_Toc5289"/>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1"/>
      <w:bookmarkEnd w:id="132"/>
      <w:bookmarkEnd w:id="133"/>
      <w:bookmarkEnd w:id="134"/>
      <w:bookmarkEnd w:id="135"/>
    </w:p>
    <w:p w14:paraId="36248BB4">
      <w:pPr>
        <w:rPr>
          <w:rFonts w:hint="eastAsia"/>
          <w:color w:val="auto"/>
          <w:lang w:val="en-US" w:eastAsia="zh-CN"/>
        </w:rPr>
      </w:pPr>
    </w:p>
    <w:tbl>
      <w:tblPr>
        <w:tblStyle w:val="41"/>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60E58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082A4962">
            <w:pPr>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4AD56BEF">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18C49462">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5144CAEC">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34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B319850">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2DE835D7">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4EED1D7">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53D79F2">
            <w:pPr>
              <w:rPr>
                <w:rFonts w:asciiTheme="minorEastAsia" w:hAnsiTheme="minorEastAsia" w:cstheme="minorEastAsia"/>
                <w:color w:val="auto"/>
                <w:sz w:val="24"/>
              </w:rPr>
            </w:pPr>
          </w:p>
        </w:tc>
      </w:tr>
      <w:tr w14:paraId="2B49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EB82976">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83D312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B79318B">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DB7A91D">
            <w:pPr>
              <w:rPr>
                <w:rFonts w:asciiTheme="minorEastAsia" w:hAnsiTheme="minorEastAsia" w:cstheme="minorEastAsia"/>
                <w:color w:val="auto"/>
                <w:sz w:val="24"/>
              </w:rPr>
            </w:pPr>
          </w:p>
        </w:tc>
      </w:tr>
      <w:tr w14:paraId="3A222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6B7DE49">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10A1D9BF">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222AEAE">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AD101DD">
            <w:pPr>
              <w:rPr>
                <w:rFonts w:asciiTheme="minorEastAsia" w:hAnsiTheme="minorEastAsia" w:cstheme="minorEastAsia"/>
                <w:color w:val="auto"/>
                <w:sz w:val="24"/>
              </w:rPr>
            </w:pPr>
          </w:p>
        </w:tc>
      </w:tr>
      <w:tr w14:paraId="108FC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0BD878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07B3D7A">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CA7902">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76D2F88">
            <w:pPr>
              <w:rPr>
                <w:rFonts w:asciiTheme="minorEastAsia" w:hAnsiTheme="minorEastAsia" w:cstheme="minorEastAsia"/>
                <w:color w:val="auto"/>
                <w:sz w:val="24"/>
              </w:rPr>
            </w:pPr>
          </w:p>
        </w:tc>
      </w:tr>
      <w:tr w14:paraId="36925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0176AB15">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6DF28CCD">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55D7A90">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133A1821">
            <w:pPr>
              <w:rPr>
                <w:rFonts w:asciiTheme="minorEastAsia" w:hAnsiTheme="minorEastAsia" w:cstheme="minorEastAsia"/>
                <w:color w:val="auto"/>
                <w:sz w:val="24"/>
              </w:rPr>
            </w:pPr>
          </w:p>
        </w:tc>
      </w:tr>
      <w:tr w14:paraId="51A3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12074AD4">
            <w:pPr>
              <w:jc w:val="center"/>
              <w:rPr>
                <w:rFonts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35938305">
            <w:pPr>
              <w:rPr>
                <w:rFonts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5F332FE9">
            <w:pPr>
              <w:rPr>
                <w:rFonts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09392E0A">
            <w:pPr>
              <w:rPr>
                <w:rFonts w:asciiTheme="minorEastAsia" w:hAnsiTheme="minorEastAsia" w:cstheme="minorEastAsia"/>
                <w:color w:val="auto"/>
                <w:sz w:val="24"/>
              </w:rPr>
            </w:pPr>
          </w:p>
        </w:tc>
      </w:tr>
    </w:tbl>
    <w:p w14:paraId="68F641D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148F976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663A658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D1DBD6C">
      <w:pPr>
        <w:spacing w:line="480" w:lineRule="auto"/>
        <w:rPr>
          <w:rFonts w:asciiTheme="minorEastAsia" w:hAnsiTheme="minorEastAsia" w:cstheme="minorEastAsia"/>
          <w:color w:val="auto"/>
          <w:sz w:val="24"/>
        </w:rPr>
      </w:pPr>
    </w:p>
    <w:p w14:paraId="7CF9A36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148A810F">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15885E7">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36" w:name="_Toc23895"/>
      <w:bookmarkStart w:id="137" w:name="_Toc25750"/>
      <w:bookmarkStart w:id="138" w:name="_Toc7049"/>
      <w:bookmarkStart w:id="139" w:name="_Toc13283"/>
      <w:bookmarkStart w:id="140" w:name="_Toc10413"/>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36"/>
      <w:bookmarkEnd w:id="137"/>
      <w:bookmarkEnd w:id="138"/>
      <w:bookmarkEnd w:id="139"/>
      <w:bookmarkEnd w:id="140"/>
    </w:p>
    <w:p w14:paraId="371DF38F">
      <w:pPr>
        <w:spacing w:line="500" w:lineRule="exact"/>
        <w:ind w:left="420" w:leftChars="200"/>
        <w:jc w:val="center"/>
        <w:outlineLvl w:val="1"/>
        <w:rPr>
          <w:rFonts w:asciiTheme="minorEastAsia" w:hAnsiTheme="minorEastAsia"/>
          <w:b/>
          <w:bCs/>
          <w:color w:val="auto"/>
          <w:sz w:val="32"/>
          <w:szCs w:val="32"/>
          <w:highlight w:val="none"/>
        </w:rPr>
      </w:pPr>
      <w:bookmarkStart w:id="141" w:name="_Toc28279"/>
      <w:bookmarkStart w:id="142" w:name="_Toc15800"/>
      <w:bookmarkStart w:id="143" w:name="_Toc29452"/>
      <w:bookmarkStart w:id="144" w:name="_Toc5082"/>
      <w:bookmarkStart w:id="145" w:name="_Toc12085"/>
      <w:bookmarkStart w:id="146" w:name="_Toc27927"/>
      <w:bookmarkStart w:id="147" w:name="_Toc16500"/>
      <w:bookmarkStart w:id="148" w:name="_Toc13944"/>
      <w:r>
        <w:rPr>
          <w:rFonts w:hint="eastAsia" w:ascii="黑体" w:hAnsi="黑体" w:eastAsia="黑体" w:cs="黑体"/>
          <w:b w:val="0"/>
          <w:bCs w:val="0"/>
          <w:color w:val="auto"/>
          <w:sz w:val="32"/>
          <w:szCs w:val="32"/>
          <w:highlight w:val="none"/>
          <w:lang w:val="en-US" w:eastAsia="zh-CN"/>
        </w:rPr>
        <w:t>六、</w:t>
      </w:r>
      <w:r>
        <w:rPr>
          <w:rFonts w:hint="eastAsia" w:ascii="黑体" w:hAnsi="黑体" w:eastAsia="黑体" w:cs="黑体"/>
          <w:b w:val="0"/>
          <w:bCs w:val="0"/>
          <w:color w:val="auto"/>
          <w:sz w:val="32"/>
          <w:szCs w:val="32"/>
          <w:highlight w:val="none"/>
        </w:rPr>
        <w:t>技术要求响应/偏离表格式</w:t>
      </w:r>
      <w:bookmarkEnd w:id="141"/>
      <w:bookmarkEnd w:id="142"/>
      <w:bookmarkEnd w:id="143"/>
      <w:bookmarkEnd w:id="144"/>
      <w:bookmarkEnd w:id="145"/>
      <w:bookmarkEnd w:id="146"/>
      <w:bookmarkEnd w:id="147"/>
      <w:bookmarkEnd w:id="148"/>
    </w:p>
    <w:p w14:paraId="01153FE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49"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color w:val="auto"/>
          <w:sz w:val="32"/>
          <w:szCs w:val="32"/>
          <w:u w:val="single"/>
          <w:lang w:val="en-US" w:eastAsia="zh-CN"/>
        </w:rPr>
        <w:t>赣州旅投建设集团有限公司2025年度建筑施工劳务外包服务</w:t>
      </w:r>
    </w:p>
    <w:p w14:paraId="40B020B1">
      <w:pPr>
        <w:pStyle w:val="4"/>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0" w:name="_Toc21193"/>
      <w:bookmarkStart w:id="151" w:name="_Toc13306"/>
      <w:bookmarkStart w:id="152" w:name="_Toc6583"/>
      <w:bookmarkStart w:id="153" w:name="_Toc19051"/>
      <w:bookmarkStart w:id="154" w:name="_Toc8684"/>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0"/>
      <w:bookmarkEnd w:id="151"/>
      <w:bookmarkEnd w:id="152"/>
      <w:bookmarkEnd w:id="153"/>
      <w:bookmarkEnd w:id="154"/>
    </w:p>
    <w:p w14:paraId="49F25211">
      <w:pPr>
        <w:rPr>
          <w:rFonts w:hint="default"/>
          <w:color w:val="auto"/>
          <w:lang w:val="en-US" w:eastAsia="zh-CN"/>
        </w:rPr>
      </w:pPr>
    </w:p>
    <w:tbl>
      <w:tblPr>
        <w:tblStyle w:val="41"/>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1AF9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3E8F7ACB">
            <w:pPr>
              <w:jc w:val="center"/>
              <w:rPr>
                <w:rFonts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36774398">
            <w:pPr>
              <w:jc w:val="center"/>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03725859">
            <w:pPr>
              <w:jc w:val="center"/>
              <w:rPr>
                <w:rFonts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477F0115">
            <w:pPr>
              <w:jc w:val="center"/>
              <w:rPr>
                <w:rFonts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6EC02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5EA376D8">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7D5E01CF">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79F451E3">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67942BD">
            <w:pPr>
              <w:rPr>
                <w:rFonts w:asciiTheme="minorEastAsia" w:hAnsiTheme="minorEastAsia" w:cstheme="minorEastAsia"/>
                <w:color w:val="auto"/>
                <w:sz w:val="24"/>
              </w:rPr>
            </w:pPr>
          </w:p>
        </w:tc>
      </w:tr>
      <w:tr w14:paraId="17D39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7BD8F3A">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6774374D">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9A6CF56">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5C0E893">
            <w:pPr>
              <w:rPr>
                <w:rFonts w:asciiTheme="minorEastAsia" w:hAnsiTheme="minorEastAsia" w:cstheme="minorEastAsia"/>
                <w:color w:val="auto"/>
                <w:sz w:val="24"/>
              </w:rPr>
            </w:pPr>
          </w:p>
        </w:tc>
      </w:tr>
      <w:tr w14:paraId="2F4F1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1E4C8A72">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494795E1">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31F69BA0">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6683F8B">
            <w:pPr>
              <w:rPr>
                <w:rFonts w:asciiTheme="minorEastAsia" w:hAnsiTheme="minorEastAsia" w:cstheme="minorEastAsia"/>
                <w:color w:val="auto"/>
                <w:sz w:val="24"/>
              </w:rPr>
            </w:pPr>
          </w:p>
        </w:tc>
      </w:tr>
      <w:tr w14:paraId="1E5BE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7D50E1BE">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B4AE38C">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30A0D33F">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5DEB9855">
            <w:pPr>
              <w:rPr>
                <w:rFonts w:asciiTheme="minorEastAsia" w:hAnsiTheme="minorEastAsia" w:cstheme="minorEastAsia"/>
                <w:color w:val="auto"/>
                <w:sz w:val="24"/>
              </w:rPr>
            </w:pPr>
          </w:p>
        </w:tc>
      </w:tr>
      <w:tr w14:paraId="1BDB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6872E590">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4F4AA794">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B9DC759">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28294844">
            <w:pPr>
              <w:rPr>
                <w:rFonts w:asciiTheme="minorEastAsia" w:hAnsiTheme="minorEastAsia" w:cstheme="minorEastAsia"/>
                <w:color w:val="auto"/>
                <w:sz w:val="24"/>
              </w:rPr>
            </w:pPr>
          </w:p>
        </w:tc>
      </w:tr>
      <w:tr w14:paraId="1FF54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5EB5C96E">
            <w:pPr>
              <w:jc w:val="center"/>
              <w:rPr>
                <w:rFonts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6B650D13">
            <w:pPr>
              <w:spacing w:line="312" w:lineRule="auto"/>
              <w:rPr>
                <w:rFonts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67B8BFFE">
            <w:pPr>
              <w:rPr>
                <w:rFonts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5B3E501">
            <w:pPr>
              <w:rPr>
                <w:rFonts w:asciiTheme="minorEastAsia" w:hAnsiTheme="minorEastAsia" w:cstheme="minorEastAsia"/>
                <w:color w:val="auto"/>
                <w:sz w:val="24"/>
              </w:rPr>
            </w:pPr>
          </w:p>
        </w:tc>
      </w:tr>
    </w:tbl>
    <w:p w14:paraId="29DAB74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50E1CCE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342A56BF">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6DAB6B9C">
      <w:pPr>
        <w:pStyle w:val="4"/>
        <w:numPr>
          <w:ilvl w:val="1"/>
          <w:numId w:val="0"/>
        </w:numPr>
        <w:ind w:leftChars="0"/>
        <w:outlineLvl w:val="9"/>
        <w:rPr>
          <w:color w:val="auto"/>
        </w:rPr>
      </w:pPr>
    </w:p>
    <w:p w14:paraId="3A92016E">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kern w:val="0"/>
          <w:sz w:val="32"/>
          <w:szCs w:val="32"/>
        </w:rPr>
        <w:t>：</w:t>
      </w:r>
    </w:p>
    <w:p w14:paraId="76073263">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48E47F39">
      <w:pPr>
        <w:pStyle w:val="39"/>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49"/>
    </w:p>
    <w:bookmarkEnd w:id="123"/>
    <w:bookmarkEnd w:id="124"/>
    <w:bookmarkEnd w:id="125"/>
    <w:p w14:paraId="45F6CB15">
      <w:pPr>
        <w:pageBreakBefore w:val="0"/>
        <w:numPr>
          <w:ilvl w:val="0"/>
          <w:numId w:val="0"/>
        </w:numPr>
        <w:kinsoku/>
        <w:wordWrap/>
        <w:overflowPunct/>
        <w:topLinePunct w:val="0"/>
        <w:bidi w:val="0"/>
        <w:spacing w:line="560" w:lineRule="exact"/>
        <w:jc w:val="center"/>
        <w:outlineLvl w:val="1"/>
        <w:rPr>
          <w:rFonts w:hint="eastAsia" w:ascii="黑体" w:hAnsi="黑体" w:eastAsia="黑体" w:cs="黑体"/>
          <w:b w:val="0"/>
          <w:bCs w:val="0"/>
          <w:color w:val="auto"/>
          <w:sz w:val="32"/>
          <w:szCs w:val="32"/>
        </w:rPr>
      </w:pPr>
      <w:bookmarkStart w:id="155" w:name="_Toc12458"/>
      <w:bookmarkStart w:id="156" w:name="_Toc23263"/>
      <w:bookmarkStart w:id="157" w:name="_Toc8075"/>
      <w:bookmarkStart w:id="158" w:name="_Toc25170"/>
      <w:bookmarkStart w:id="159" w:name="_Toc20187"/>
      <w:bookmarkStart w:id="160" w:name="_Toc1799401247"/>
      <w:bookmarkStart w:id="161" w:name="_Toc1723323091"/>
      <w:bookmarkStart w:id="162" w:name="_Toc4974"/>
      <w:r>
        <w:rPr>
          <w:rFonts w:hint="eastAsia" w:ascii="黑体" w:hAnsi="黑体" w:eastAsia="黑体" w:cs="黑体"/>
          <w:b w:val="0"/>
          <w:bCs w:val="0"/>
          <w:color w:val="auto"/>
          <w:sz w:val="32"/>
          <w:szCs w:val="32"/>
          <w:lang w:val="en-US" w:eastAsia="zh-CN"/>
        </w:rPr>
        <w:t>七、</w:t>
      </w:r>
      <w:r>
        <w:rPr>
          <w:rFonts w:hint="eastAsia" w:ascii="黑体" w:hAnsi="黑体" w:eastAsia="黑体" w:cs="黑体"/>
          <w:b w:val="0"/>
          <w:bCs w:val="0"/>
          <w:color w:val="auto"/>
          <w:sz w:val="32"/>
          <w:szCs w:val="32"/>
        </w:rPr>
        <w:t>资格证明材料</w:t>
      </w:r>
      <w:bookmarkEnd w:id="155"/>
      <w:bookmarkEnd w:id="156"/>
      <w:bookmarkEnd w:id="157"/>
      <w:bookmarkEnd w:id="158"/>
      <w:bookmarkEnd w:id="159"/>
      <w:bookmarkEnd w:id="160"/>
      <w:bookmarkEnd w:id="161"/>
      <w:bookmarkEnd w:id="162"/>
    </w:p>
    <w:p w14:paraId="49630726">
      <w:pPr>
        <w:pStyle w:val="5"/>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3" w:name="_Toc1765"/>
      <w:bookmarkStart w:id="164" w:name="_Toc22529"/>
      <w:bookmarkStart w:id="165" w:name="_Toc779243348"/>
    </w:p>
    <w:p w14:paraId="1E478BBD">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 xml:space="preserve">1 </w:t>
      </w:r>
      <w:r>
        <w:rPr>
          <w:rFonts w:hint="default" w:ascii="楷体" w:hAnsi="楷体" w:eastAsia="楷体" w:cs="楷体"/>
          <w:b/>
          <w:bCs/>
          <w:kern w:val="2"/>
          <w:sz w:val="32"/>
          <w:szCs w:val="32"/>
          <w:lang w:val="en-US" w:eastAsia="zh-CN" w:bidi="ar"/>
        </w:rPr>
        <w:t>营业执照、安全生产许可证、资质证书等相关资格证明材料</w:t>
      </w:r>
      <w:bookmarkEnd w:id="163"/>
      <w:bookmarkEnd w:id="164"/>
      <w:bookmarkEnd w:id="165"/>
    </w:p>
    <w:p w14:paraId="682DC8EB">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66" w:name="_Toc262628298"/>
      <w:bookmarkStart w:id="167"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10001039">
      <w:pPr>
        <w:pStyle w:val="5"/>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68" w:name="_Toc14445"/>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66"/>
      <w:r>
        <w:rPr>
          <w:rFonts w:hint="eastAsia" w:ascii="楷体" w:hAnsi="楷体" w:eastAsia="楷体" w:cs="楷体"/>
          <w:color w:val="auto"/>
          <w:sz w:val="32"/>
          <w:szCs w:val="32"/>
        </w:rPr>
        <w:t>承诺函</w:t>
      </w:r>
      <w:bookmarkEnd w:id="167"/>
      <w:bookmarkEnd w:id="168"/>
    </w:p>
    <w:p w14:paraId="17152C04">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1F4930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3397C7F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379939D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02069D3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3AF87D80">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0D848E5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14A531DB">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4372F473">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64928DF9">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3C111D23">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w:t>
      </w:r>
      <w:r>
        <w:rPr>
          <w:rFonts w:hint="default" w:ascii="仿宋_GB2312" w:hAnsi="Times New Roman" w:eastAsia="仿宋_GB2312" w:cs="仿宋_GB2312"/>
          <w:kern w:val="2"/>
          <w:sz w:val="32"/>
          <w:szCs w:val="32"/>
          <w:lang w:val="en-US" w:eastAsia="zh-CN" w:bidi="ar"/>
        </w:rPr>
        <w:t>/授权代理人</w:t>
      </w:r>
      <w:r>
        <w:rPr>
          <w:rFonts w:hint="eastAsia" w:ascii="仿宋_GB2312" w:hAnsi="仿宋_GB2312" w:eastAsia="仿宋_GB2312" w:cs="仿宋_GB2312"/>
          <w:color w:val="auto"/>
          <w:sz w:val="32"/>
          <w:szCs w:val="32"/>
        </w:rPr>
        <w:t>（签名或印章）：</w:t>
      </w:r>
    </w:p>
    <w:p w14:paraId="0568406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6F4AF985">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7CFE362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59C8F100">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69" w:name="_Toc14818"/>
      <w:bookmarkStart w:id="170" w:name="_Toc947"/>
      <w:bookmarkStart w:id="171" w:name="_Toc14947"/>
      <w:r>
        <w:rPr>
          <w:rFonts w:hint="eastAsia" w:ascii="楷体" w:hAnsi="楷体" w:eastAsia="楷体" w:cs="楷体"/>
          <w:color w:val="auto"/>
          <w:sz w:val="32"/>
          <w:szCs w:val="32"/>
        </w:rPr>
        <w:t>格式</w:t>
      </w:r>
      <w:r>
        <w:rPr>
          <w:rFonts w:hint="eastAsia" w:ascii="楷体" w:hAnsi="楷体" w:eastAsia="楷体" w:cs="楷体"/>
          <w:color w:val="auto"/>
          <w:sz w:val="32"/>
          <w:szCs w:val="32"/>
          <w:lang w:val="en-US" w:eastAsia="zh-CN"/>
        </w:rPr>
        <w:t>7</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 xml:space="preserve">3 </w:t>
      </w:r>
      <w:r>
        <w:rPr>
          <w:rFonts w:hint="eastAsia" w:ascii="楷体" w:hAnsi="楷体" w:eastAsia="楷体" w:cs="楷体"/>
          <w:color w:val="auto"/>
          <w:sz w:val="32"/>
          <w:szCs w:val="32"/>
        </w:rPr>
        <w:t>供应商</w:t>
      </w:r>
      <w:r>
        <w:rPr>
          <w:rFonts w:hint="eastAsia" w:ascii="楷体" w:hAnsi="楷体" w:eastAsia="楷体" w:cs="楷体"/>
          <w:color w:val="auto"/>
          <w:sz w:val="32"/>
          <w:szCs w:val="32"/>
          <w:lang w:val="en-US" w:eastAsia="zh-CN"/>
        </w:rPr>
        <w:t>询价保证金</w:t>
      </w:r>
      <w:bookmarkEnd w:id="169"/>
      <w:bookmarkEnd w:id="170"/>
      <w:bookmarkEnd w:id="171"/>
    </w:p>
    <w:p w14:paraId="111D138B">
      <w:pPr>
        <w:pageBreakBefore w:val="0"/>
        <w:kinsoku/>
        <w:wordWrap/>
        <w:overflowPunct/>
        <w:topLinePunct w:val="0"/>
        <w:bidi w:val="0"/>
        <w:snapToGrid w:val="0"/>
        <w:spacing w:line="560" w:lineRule="exact"/>
        <w:ind w:right="0" w:rightChars="0"/>
        <w:jc w:val="left"/>
        <w:outlineLvl w:val="0"/>
        <w:rPr>
          <w:rFonts w:hint="eastAsia" w:ascii="仿宋_GB2312" w:hAnsi="仿宋_GB2312" w:eastAsia="仿宋_GB2312" w:cs="仿宋_GB2312"/>
          <w:color w:val="auto"/>
          <w:sz w:val="32"/>
          <w:szCs w:val="32"/>
          <w:lang w:val="en-US" w:eastAsia="zh-CN"/>
        </w:rPr>
      </w:pPr>
      <w:bookmarkStart w:id="172" w:name="_Toc21828"/>
      <w:bookmarkStart w:id="173" w:name="_Toc5513"/>
      <w:bookmarkStart w:id="174" w:name="_Toc18415"/>
      <w:r>
        <w:rPr>
          <w:rFonts w:hint="eastAsia" w:ascii="仿宋_GB2312" w:hAnsi="仿宋_GB2312" w:eastAsia="仿宋_GB2312" w:cs="仿宋_GB2312"/>
          <w:color w:val="auto"/>
          <w:sz w:val="32"/>
          <w:szCs w:val="32"/>
          <w:lang w:val="en-US" w:eastAsia="zh-CN"/>
        </w:rPr>
        <w:t>提供询价保证金转账凭证或截图并加盖公章</w:t>
      </w:r>
      <w:bookmarkEnd w:id="172"/>
      <w:bookmarkEnd w:id="173"/>
      <w:bookmarkEnd w:id="174"/>
    </w:p>
    <w:p w14:paraId="7981829F">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2EA95BE">
      <w:pPr>
        <w:pStyle w:val="3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697CA84">
      <w:pPr>
        <w:pStyle w:val="2"/>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91934E4">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40031A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96B112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6FBA9C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574F4E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6D77FC0">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F51500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5FEEBC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9C1EE5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1485EC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65D7FC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9675A5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AC4D834">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D0B3180">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31A8995">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A051293">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049ACD1">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59F6D41">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65F67F9">
      <w:pPr>
        <w:pStyle w:val="5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36EEF986">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5" w:name="_Toc15613"/>
      <w:bookmarkStart w:id="176" w:name="_Toc24818"/>
      <w:r>
        <w:rPr>
          <w:rFonts w:hint="eastAsia" w:ascii="楷体" w:hAnsi="楷体" w:eastAsia="楷体" w:cs="楷体"/>
          <w:color w:val="auto"/>
          <w:sz w:val="32"/>
          <w:szCs w:val="32"/>
          <w:lang w:val="en-US" w:eastAsia="zh-CN"/>
        </w:rPr>
        <w:t>格式7-4 拟派人员资格证明材料</w:t>
      </w:r>
      <w:bookmarkEnd w:id="175"/>
      <w:bookmarkEnd w:id="176"/>
    </w:p>
    <w:p w14:paraId="08D7145D">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提供身份证明材料复印件并加盖公章</w:t>
      </w:r>
    </w:p>
    <w:p w14:paraId="0D7DB78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778BCE0">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A1372B5">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5C88EF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412C4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2C3E7C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6C845C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37AC755B">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79270F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FBB6B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607185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97033E9">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89B54E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11A988A">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5277808">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70D3F0C">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4115F7E">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B12FE81">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28BB587">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59976B2">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5C8899D">
      <w:pPr>
        <w:pStyle w:val="56"/>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ECA58A8">
      <w:pPr>
        <w:pStyle w:val="56"/>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5EEFFA4A">
      <w:pPr>
        <w:pStyle w:val="5"/>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7" w:name="_Toc24860"/>
      <w:bookmarkStart w:id="178" w:name="_Toc16168"/>
      <w:r>
        <w:rPr>
          <w:rFonts w:hint="eastAsia" w:ascii="楷体" w:hAnsi="楷体" w:eastAsia="楷体" w:cs="楷体"/>
          <w:color w:val="auto"/>
          <w:sz w:val="32"/>
          <w:szCs w:val="32"/>
          <w:lang w:val="en-US" w:eastAsia="zh-CN"/>
        </w:rPr>
        <w:t>格式7-5 其他材料</w:t>
      </w:r>
      <w:bookmarkEnd w:id="177"/>
      <w:bookmarkEnd w:id="178"/>
    </w:p>
    <w:p w14:paraId="6A867FAF">
      <w:pPr>
        <w:pStyle w:val="2"/>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4C2B1238">
      <w:pPr>
        <w:pStyle w:val="6"/>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8486F2D-5CF6-4429-B645-BDCCA8BB93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BCC38CE-A76B-49EB-BF27-0C3BD3CC0292}"/>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6ED2FC1A-EFCD-4210-AC03-78F23D813472}"/>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ヒラギノ角ゴ Pro W3">
    <w:altName w:val="Malgun Gothic Semilight"/>
    <w:panose1 w:val="020B0300000000000000"/>
    <w:charset w:val="80"/>
    <w:family w:val="roman"/>
    <w:pitch w:val="default"/>
    <w:sig w:usb0="00000000" w:usb1="00000000" w:usb2="00000000" w:usb3="00000000" w:csb0="00160000" w:csb1="00000000"/>
  </w:font>
  <w:font w:name="Malgun Gothic Semilight">
    <w:panose1 w:val="020B0502040204020203"/>
    <w:charset w:val="86"/>
    <w:family w:val="auto"/>
    <w:pitch w:val="default"/>
    <w:sig w:usb0="900002AF" w:usb1="01D77CFB" w:usb2="00000012" w:usb3="00000000" w:csb0="203E01BD" w:csb1="D7FF0000"/>
  </w:font>
  <w:font w:name="Tahoma">
    <w:panose1 w:val="020B0604030504040204"/>
    <w:charset w:val="00"/>
    <w:family w:val="swiss"/>
    <w:pitch w:val="default"/>
    <w:sig w:usb0="E1002EFF" w:usb1="C000605B" w:usb2="00000029" w:usb3="00000000" w:csb0="200101FF" w:csb1="20280000"/>
  </w:font>
  <w:font w:name="???|CS?o｡ﾀ?">
    <w:altName w:val="Yu Gothic"/>
    <w:panose1 w:val="00000000000000000000"/>
    <w:charset w:val="80"/>
    <w:family w:val="swiss"/>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Cambria">
    <w:panose1 w:val="02040503050406030204"/>
    <w:charset w:val="00"/>
    <w:family w:val="roman"/>
    <w:pitch w:val="default"/>
    <w:sig w:usb0="E00006FF" w:usb1="420024FF" w:usb2="02000000" w:usb3="00000000" w:csb0="2000019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2FF7A63B-6A4E-4AB9-94B5-DDB9240015EA}"/>
  </w:font>
  <w:font w:name="楷体">
    <w:panose1 w:val="02010609060101010101"/>
    <w:charset w:val="86"/>
    <w:family w:val="auto"/>
    <w:pitch w:val="default"/>
    <w:sig w:usb0="800002BF" w:usb1="38CF7CFA" w:usb2="00000016" w:usb3="00000000" w:csb0="00040001" w:csb1="00000000"/>
    <w:embedRegular r:id="rId5" w:fontKey="{B38BE98A-B0D6-475B-A631-C7014A111629}"/>
  </w:font>
  <w:font w:name="方正小标宋简体">
    <w:panose1 w:val="02000000000000000000"/>
    <w:charset w:val="86"/>
    <w:family w:val="auto"/>
    <w:pitch w:val="default"/>
    <w:sig w:usb0="00000001" w:usb1="080E0000" w:usb2="00000000" w:usb3="00000000" w:csb0="00040000" w:csb1="00000000"/>
    <w:embedRegular r:id="rId6" w:fontKey="{659A9391-F771-4260-9BDB-28A72813B6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DE4A3">
    <w:pPr>
      <w:pStyle w:val="2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281064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3E77B">
    <w:pPr>
      <w:pStyle w:val="29"/>
      <w:framePr w:wrap="around" w:vAnchor="text" w:hAnchor="margin" w:xAlign="right" w:y="1"/>
      <w:rPr>
        <w:rStyle w:val="45"/>
      </w:rPr>
    </w:pPr>
    <w:r>
      <w:fldChar w:fldCharType="begin"/>
    </w:r>
    <w:r>
      <w:rPr>
        <w:rStyle w:val="45"/>
      </w:rPr>
      <w:instrText xml:space="preserve">PAGE  </w:instrText>
    </w:r>
    <w:r>
      <w:fldChar w:fldCharType="end"/>
    </w:r>
  </w:p>
  <w:p w14:paraId="7AB5FDF2">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9389C">
    <w:pPr>
      <w:pStyle w:val="29"/>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6F52DB6">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D1BDB">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D2BAF91">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523E09AF"/>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F1EAC">
    <w:pPr>
      <w:pStyle w:val="29"/>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FFBCEEC">
                    <w:pPr>
                      <w:pStyle w:val="29"/>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3896516B"/>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0FA88">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142BC">
    <w:pPr>
      <w:pStyle w:val="3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B0C17E">
    <w:pPr>
      <w:pStyle w:val="30"/>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706E2">
    <w:pPr>
      <w:pStyle w:val="30"/>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decimal"/>
      <w:pStyle w:val="3"/>
      <w:lvlText w:val="%1"/>
      <w:lvlJc w:val="left"/>
      <w:pPr>
        <w:ind w:left="0" w:firstLine="0"/>
      </w:pPr>
      <w:rPr>
        <w:rFonts w:hint="eastAsia" w:ascii="黑体" w:eastAsia="黑体"/>
        <w:b w:val="0"/>
        <w:i w:val="0"/>
        <w:sz w:val="24"/>
      </w:rPr>
    </w:lvl>
    <w:lvl w:ilvl="1" w:tentative="0">
      <w:start w:val="1"/>
      <w:numFmt w:val="decimal"/>
      <w:pStyle w:val="4"/>
      <w:lvlText w:val="%1.%2"/>
      <w:lvlJc w:val="left"/>
      <w:pPr>
        <w:ind w:left="0" w:firstLine="0"/>
      </w:pPr>
      <w:rPr>
        <w:rFonts w:hint="eastAsia" w:ascii="黑体" w:eastAsia="黑体"/>
        <w:b w:val="0"/>
        <w:i w:val="0"/>
        <w:sz w:val="24"/>
      </w:rPr>
    </w:lvl>
    <w:lvl w:ilvl="2" w:tentative="0">
      <w:start w:val="1"/>
      <w:numFmt w:val="decimal"/>
      <w:pStyle w:val="5"/>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8"/>
      <w:lvlText w:val="%1.%2.%3.%4.%5"/>
      <w:lvlJc w:val="left"/>
      <w:pPr>
        <w:ind w:left="0" w:firstLine="0"/>
      </w:pPr>
      <w:rPr>
        <w:rFonts w:hint="eastAsia" w:ascii="黑体" w:eastAsia="黑体"/>
        <w:b w:val="0"/>
        <w:i w:val="0"/>
        <w:sz w:val="24"/>
      </w:rPr>
    </w:lvl>
    <w:lvl w:ilvl="5" w:tentative="0">
      <w:start w:val="1"/>
      <w:numFmt w:val="decimal"/>
      <w:pStyle w:val="9"/>
      <w:lvlText w:val="%1.%2.%3.%4.%5.%6"/>
      <w:lvlJc w:val="left"/>
      <w:pPr>
        <w:ind w:left="0" w:firstLine="0"/>
      </w:pPr>
      <w:rPr>
        <w:rFonts w:hint="eastAsia" w:ascii="黑体" w:eastAsia="黑体"/>
        <w:b w:val="0"/>
        <w:i w:val="0"/>
        <w:sz w:val="24"/>
      </w:rPr>
    </w:lvl>
    <w:lvl w:ilvl="6" w:tentative="0">
      <w:start w:val="1"/>
      <w:numFmt w:val="decimal"/>
      <w:pStyle w:val="10"/>
      <w:lvlText w:val="（%7）"/>
      <w:lvlJc w:val="left"/>
      <w:pPr>
        <w:ind w:left="1191" w:firstLine="0"/>
      </w:pPr>
      <w:rPr>
        <w:rFonts w:hint="eastAsia" w:ascii="黑体" w:eastAsia="黑体"/>
        <w:b w:val="0"/>
        <w:i w:val="0"/>
        <w:sz w:val="24"/>
      </w:rPr>
    </w:lvl>
    <w:lvl w:ilvl="7" w:tentative="0">
      <w:start w:val="1"/>
      <w:numFmt w:val="lowerLetter"/>
      <w:pStyle w:val="11"/>
      <w:lvlText w:val="（%8）"/>
      <w:lvlJc w:val="left"/>
      <w:pPr>
        <w:ind w:left="1888" w:firstLine="0"/>
      </w:pPr>
      <w:rPr>
        <w:rFonts w:hint="eastAsia" w:ascii="黑体" w:eastAsia="黑体"/>
        <w:b w:val="0"/>
        <w:i w:val="0"/>
        <w:sz w:val="24"/>
      </w:rPr>
    </w:lvl>
    <w:lvl w:ilvl="8" w:tentative="0">
      <w:start w:val="1"/>
      <w:numFmt w:val="lowerRoman"/>
      <w:pStyle w:val="12"/>
      <w:lvlText w:val="（%9）"/>
      <w:lvlJc w:val="left"/>
      <w:pPr>
        <w:ind w:left="2591" w:firstLine="0"/>
      </w:pPr>
      <w:rPr>
        <w:rFonts w:hint="eastAsia" w:ascii="黑体" w:eastAsia="黑体"/>
        <w:b w:val="0"/>
        <w:i w:val="0"/>
        <w:sz w:val="24"/>
      </w:rPr>
    </w:lvl>
  </w:abstractNum>
  <w:abstractNum w:abstractNumId="1">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3">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4">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52B49CE0"/>
    <w:multiLevelType w:val="singleLevel"/>
    <w:tmpl w:val="52B49CE0"/>
    <w:lvl w:ilvl="0" w:tentative="0">
      <w:start w:val="1"/>
      <w:numFmt w:val="chineseCounting"/>
      <w:suff w:val="nothing"/>
      <w:lvlText w:val="（%1）"/>
      <w:lvlJc w:val="left"/>
      <w:pPr>
        <w:ind w:left="-220"/>
      </w:pPr>
      <w:rPr>
        <w:rFonts w:hint="eastAsia" w:ascii="仿宋_GB2312" w:hAnsi="仿宋_GB2312" w:eastAsia="仿宋_GB2312" w:cs="仿宋_GB2312"/>
        <w:sz w:val="32"/>
        <w:szCs w:val="32"/>
      </w:rPr>
    </w:lvl>
  </w:abstractNum>
  <w:abstractNum w:abstractNumId="7">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8">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g0MGQ2YThjMDBlNWUwOGU4MmRjMWE4OTIxMzQ3YWQ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201700"/>
    <w:rsid w:val="022516EE"/>
    <w:rsid w:val="028757F6"/>
    <w:rsid w:val="02B05A0A"/>
    <w:rsid w:val="03D37BE8"/>
    <w:rsid w:val="04194672"/>
    <w:rsid w:val="0476084B"/>
    <w:rsid w:val="04B362BD"/>
    <w:rsid w:val="04C36CF7"/>
    <w:rsid w:val="053512D7"/>
    <w:rsid w:val="059D642C"/>
    <w:rsid w:val="05B54ACB"/>
    <w:rsid w:val="05BE4FDC"/>
    <w:rsid w:val="063C750A"/>
    <w:rsid w:val="065979A5"/>
    <w:rsid w:val="06777F94"/>
    <w:rsid w:val="0792397C"/>
    <w:rsid w:val="08481860"/>
    <w:rsid w:val="086777B2"/>
    <w:rsid w:val="08760957"/>
    <w:rsid w:val="088A04AD"/>
    <w:rsid w:val="08AC0FDA"/>
    <w:rsid w:val="0943622A"/>
    <w:rsid w:val="09762B05"/>
    <w:rsid w:val="09BA442F"/>
    <w:rsid w:val="0A0D09B2"/>
    <w:rsid w:val="0A301CAD"/>
    <w:rsid w:val="0AC76A3C"/>
    <w:rsid w:val="0AEE4994"/>
    <w:rsid w:val="0B0033E1"/>
    <w:rsid w:val="0B2048FA"/>
    <w:rsid w:val="0B84779F"/>
    <w:rsid w:val="0BEC4E70"/>
    <w:rsid w:val="0BF60407"/>
    <w:rsid w:val="0C046709"/>
    <w:rsid w:val="0C075C30"/>
    <w:rsid w:val="0C0A78AA"/>
    <w:rsid w:val="0C0D7C2A"/>
    <w:rsid w:val="0C2B3BF7"/>
    <w:rsid w:val="0C672EED"/>
    <w:rsid w:val="0C985DB0"/>
    <w:rsid w:val="0CE37B05"/>
    <w:rsid w:val="0D0654E0"/>
    <w:rsid w:val="0D9210DF"/>
    <w:rsid w:val="0DC34C5E"/>
    <w:rsid w:val="0E2D4BC1"/>
    <w:rsid w:val="0EDF4FA9"/>
    <w:rsid w:val="0F067D8E"/>
    <w:rsid w:val="0F3D1A56"/>
    <w:rsid w:val="0F413D01"/>
    <w:rsid w:val="0F532FEC"/>
    <w:rsid w:val="0F7C743D"/>
    <w:rsid w:val="0F7E028F"/>
    <w:rsid w:val="0FCB0B5F"/>
    <w:rsid w:val="1006256B"/>
    <w:rsid w:val="10255BD3"/>
    <w:rsid w:val="106F440E"/>
    <w:rsid w:val="111C3138"/>
    <w:rsid w:val="11415D73"/>
    <w:rsid w:val="117B2658"/>
    <w:rsid w:val="118B6D91"/>
    <w:rsid w:val="119F1826"/>
    <w:rsid w:val="11C81206"/>
    <w:rsid w:val="12036651"/>
    <w:rsid w:val="12106C52"/>
    <w:rsid w:val="1228488E"/>
    <w:rsid w:val="12895DD2"/>
    <w:rsid w:val="12CB5648"/>
    <w:rsid w:val="12D55F95"/>
    <w:rsid w:val="12E81074"/>
    <w:rsid w:val="131A1D49"/>
    <w:rsid w:val="132018DB"/>
    <w:rsid w:val="13615395"/>
    <w:rsid w:val="138D7E8E"/>
    <w:rsid w:val="13B114C8"/>
    <w:rsid w:val="13F16BE3"/>
    <w:rsid w:val="14DD097C"/>
    <w:rsid w:val="157F5315"/>
    <w:rsid w:val="1581332E"/>
    <w:rsid w:val="15BF632A"/>
    <w:rsid w:val="15CD71BF"/>
    <w:rsid w:val="15EE1F4D"/>
    <w:rsid w:val="16041106"/>
    <w:rsid w:val="160F6ACA"/>
    <w:rsid w:val="16103B4A"/>
    <w:rsid w:val="166240F0"/>
    <w:rsid w:val="16813738"/>
    <w:rsid w:val="169F7AA4"/>
    <w:rsid w:val="16A3210E"/>
    <w:rsid w:val="16D37F64"/>
    <w:rsid w:val="174F4263"/>
    <w:rsid w:val="175C767E"/>
    <w:rsid w:val="17601520"/>
    <w:rsid w:val="176F1205"/>
    <w:rsid w:val="17B07441"/>
    <w:rsid w:val="17B168D9"/>
    <w:rsid w:val="17CE179F"/>
    <w:rsid w:val="181F4118"/>
    <w:rsid w:val="186A1522"/>
    <w:rsid w:val="18F22030"/>
    <w:rsid w:val="18F80513"/>
    <w:rsid w:val="194E656C"/>
    <w:rsid w:val="19CB6596"/>
    <w:rsid w:val="1A5E246E"/>
    <w:rsid w:val="1A8F0EAD"/>
    <w:rsid w:val="1AB632CA"/>
    <w:rsid w:val="1ADA497A"/>
    <w:rsid w:val="1B5503D1"/>
    <w:rsid w:val="1BC70E78"/>
    <w:rsid w:val="1BFFBE4E"/>
    <w:rsid w:val="1C6B5E93"/>
    <w:rsid w:val="1EB42385"/>
    <w:rsid w:val="1EC973FC"/>
    <w:rsid w:val="1F112AA8"/>
    <w:rsid w:val="1F315492"/>
    <w:rsid w:val="1FB673E5"/>
    <w:rsid w:val="1FD357A8"/>
    <w:rsid w:val="204875B8"/>
    <w:rsid w:val="20DC4047"/>
    <w:rsid w:val="21001DC0"/>
    <w:rsid w:val="213622DE"/>
    <w:rsid w:val="21673F78"/>
    <w:rsid w:val="2188137C"/>
    <w:rsid w:val="21900862"/>
    <w:rsid w:val="21EC1F70"/>
    <w:rsid w:val="223934A8"/>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952297B"/>
    <w:rsid w:val="29F63590"/>
    <w:rsid w:val="29FC4FE3"/>
    <w:rsid w:val="2A2402B3"/>
    <w:rsid w:val="2A2A7B29"/>
    <w:rsid w:val="2A761AC6"/>
    <w:rsid w:val="2A857AE7"/>
    <w:rsid w:val="2B1451EB"/>
    <w:rsid w:val="2B7C5D72"/>
    <w:rsid w:val="2B8579C7"/>
    <w:rsid w:val="2BF21406"/>
    <w:rsid w:val="2C341578"/>
    <w:rsid w:val="2C5A5295"/>
    <w:rsid w:val="2C5B4D08"/>
    <w:rsid w:val="2C7F365A"/>
    <w:rsid w:val="2CBB7E04"/>
    <w:rsid w:val="2CFD6B14"/>
    <w:rsid w:val="2DFD0037"/>
    <w:rsid w:val="2DFD2F84"/>
    <w:rsid w:val="2E715669"/>
    <w:rsid w:val="2EBC045D"/>
    <w:rsid w:val="2EBEC535"/>
    <w:rsid w:val="2ED354FD"/>
    <w:rsid w:val="2EDB55F4"/>
    <w:rsid w:val="2F3F537A"/>
    <w:rsid w:val="302C34F5"/>
    <w:rsid w:val="306748CB"/>
    <w:rsid w:val="30B76C60"/>
    <w:rsid w:val="31310E50"/>
    <w:rsid w:val="31723CEC"/>
    <w:rsid w:val="31BF110F"/>
    <w:rsid w:val="324F2E62"/>
    <w:rsid w:val="3285203F"/>
    <w:rsid w:val="329E62B0"/>
    <w:rsid w:val="32CC11BB"/>
    <w:rsid w:val="32D67208"/>
    <w:rsid w:val="3322639E"/>
    <w:rsid w:val="3334643D"/>
    <w:rsid w:val="33F07EC7"/>
    <w:rsid w:val="33FD03FF"/>
    <w:rsid w:val="3409300E"/>
    <w:rsid w:val="341A4018"/>
    <w:rsid w:val="34F6560C"/>
    <w:rsid w:val="350C2EB6"/>
    <w:rsid w:val="35594E9A"/>
    <w:rsid w:val="35B23CF5"/>
    <w:rsid w:val="35C463AA"/>
    <w:rsid w:val="35D82A50"/>
    <w:rsid w:val="365B0957"/>
    <w:rsid w:val="366C4C73"/>
    <w:rsid w:val="36782533"/>
    <w:rsid w:val="368477DB"/>
    <w:rsid w:val="36F60BA5"/>
    <w:rsid w:val="378625D4"/>
    <w:rsid w:val="37BF31DD"/>
    <w:rsid w:val="37EB8BD4"/>
    <w:rsid w:val="38A77ED7"/>
    <w:rsid w:val="38C518A2"/>
    <w:rsid w:val="38CD6FBB"/>
    <w:rsid w:val="38E11F84"/>
    <w:rsid w:val="3902155F"/>
    <w:rsid w:val="39271F6A"/>
    <w:rsid w:val="39B15CE7"/>
    <w:rsid w:val="3A020FA7"/>
    <w:rsid w:val="3A093F62"/>
    <w:rsid w:val="3A2E3B66"/>
    <w:rsid w:val="3A5B546C"/>
    <w:rsid w:val="3A8A77C7"/>
    <w:rsid w:val="3A8D7C31"/>
    <w:rsid w:val="3AB40D45"/>
    <w:rsid w:val="3ADE2CD9"/>
    <w:rsid w:val="3AEE6751"/>
    <w:rsid w:val="3AFF3D8A"/>
    <w:rsid w:val="3B164D2C"/>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9D5153"/>
    <w:rsid w:val="3FBB0EBF"/>
    <w:rsid w:val="3FBFA6C6"/>
    <w:rsid w:val="40700EAB"/>
    <w:rsid w:val="407C2815"/>
    <w:rsid w:val="407F6FD6"/>
    <w:rsid w:val="40852726"/>
    <w:rsid w:val="409C31E0"/>
    <w:rsid w:val="40BE0358"/>
    <w:rsid w:val="413B71DD"/>
    <w:rsid w:val="415E36CB"/>
    <w:rsid w:val="417D2F94"/>
    <w:rsid w:val="41924783"/>
    <w:rsid w:val="419A6740"/>
    <w:rsid w:val="41DC6EFA"/>
    <w:rsid w:val="422A3A4F"/>
    <w:rsid w:val="42540FB7"/>
    <w:rsid w:val="426C746E"/>
    <w:rsid w:val="429C4FBA"/>
    <w:rsid w:val="43112B98"/>
    <w:rsid w:val="43251552"/>
    <w:rsid w:val="43427FC0"/>
    <w:rsid w:val="43A05886"/>
    <w:rsid w:val="43B95E86"/>
    <w:rsid w:val="43CD6C6D"/>
    <w:rsid w:val="43E50640"/>
    <w:rsid w:val="44C56CB4"/>
    <w:rsid w:val="44EC357A"/>
    <w:rsid w:val="44F23A49"/>
    <w:rsid w:val="45592A04"/>
    <w:rsid w:val="456D24F5"/>
    <w:rsid w:val="45F37365"/>
    <w:rsid w:val="46493D40"/>
    <w:rsid w:val="464D27B1"/>
    <w:rsid w:val="46583646"/>
    <w:rsid w:val="46A3221C"/>
    <w:rsid w:val="46E85179"/>
    <w:rsid w:val="4735772C"/>
    <w:rsid w:val="47521EC8"/>
    <w:rsid w:val="47766BCE"/>
    <w:rsid w:val="48047FBC"/>
    <w:rsid w:val="4836665C"/>
    <w:rsid w:val="48464588"/>
    <w:rsid w:val="48AE0993"/>
    <w:rsid w:val="48AE0A27"/>
    <w:rsid w:val="48F2506E"/>
    <w:rsid w:val="48F615B0"/>
    <w:rsid w:val="490B1EA1"/>
    <w:rsid w:val="49676E57"/>
    <w:rsid w:val="49B712B0"/>
    <w:rsid w:val="4A347A7D"/>
    <w:rsid w:val="4A367536"/>
    <w:rsid w:val="4BA744DE"/>
    <w:rsid w:val="4BEA1C86"/>
    <w:rsid w:val="4C0300C2"/>
    <w:rsid w:val="4C523EF6"/>
    <w:rsid w:val="4CB02FFC"/>
    <w:rsid w:val="4CCC37C1"/>
    <w:rsid w:val="4CD55435"/>
    <w:rsid w:val="4D0061F0"/>
    <w:rsid w:val="4D3C7845"/>
    <w:rsid w:val="4D652C43"/>
    <w:rsid w:val="4DE75304"/>
    <w:rsid w:val="4DFA15D5"/>
    <w:rsid w:val="4DFB0D8E"/>
    <w:rsid w:val="4E3213EC"/>
    <w:rsid w:val="4E646F30"/>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8B2636"/>
    <w:rsid w:val="51A263A2"/>
    <w:rsid w:val="522B41C6"/>
    <w:rsid w:val="52A02084"/>
    <w:rsid w:val="52BD7CE0"/>
    <w:rsid w:val="52E17C26"/>
    <w:rsid w:val="52E977F0"/>
    <w:rsid w:val="52EF2115"/>
    <w:rsid w:val="535879C9"/>
    <w:rsid w:val="53606E4D"/>
    <w:rsid w:val="53673CCC"/>
    <w:rsid w:val="53BF4C12"/>
    <w:rsid w:val="53FFFE96"/>
    <w:rsid w:val="5416594D"/>
    <w:rsid w:val="547F7B09"/>
    <w:rsid w:val="54914432"/>
    <w:rsid w:val="54AF434B"/>
    <w:rsid w:val="55091251"/>
    <w:rsid w:val="55B32092"/>
    <w:rsid w:val="5612668C"/>
    <w:rsid w:val="566D131E"/>
    <w:rsid w:val="56D11A7C"/>
    <w:rsid w:val="56E25C70"/>
    <w:rsid w:val="570F0FBB"/>
    <w:rsid w:val="573111B5"/>
    <w:rsid w:val="576D4AFF"/>
    <w:rsid w:val="57B03C07"/>
    <w:rsid w:val="57C455F4"/>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BF7102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5E5BA5"/>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4F63BAD"/>
    <w:rsid w:val="653F3FFC"/>
    <w:rsid w:val="656346A5"/>
    <w:rsid w:val="657071FA"/>
    <w:rsid w:val="657C2BF0"/>
    <w:rsid w:val="659E7B81"/>
    <w:rsid w:val="65A73D41"/>
    <w:rsid w:val="66834F1A"/>
    <w:rsid w:val="669449F4"/>
    <w:rsid w:val="66B81D09"/>
    <w:rsid w:val="66C0470F"/>
    <w:rsid w:val="67105ACB"/>
    <w:rsid w:val="67305B72"/>
    <w:rsid w:val="6756094D"/>
    <w:rsid w:val="67F11B1A"/>
    <w:rsid w:val="67F45AAE"/>
    <w:rsid w:val="67FD674D"/>
    <w:rsid w:val="680B5540"/>
    <w:rsid w:val="681C4D88"/>
    <w:rsid w:val="687A3542"/>
    <w:rsid w:val="68AD4CF0"/>
    <w:rsid w:val="68E530A7"/>
    <w:rsid w:val="69633FB1"/>
    <w:rsid w:val="699F681A"/>
    <w:rsid w:val="69F3430A"/>
    <w:rsid w:val="6A160E70"/>
    <w:rsid w:val="6A444CC9"/>
    <w:rsid w:val="6A4F2BB3"/>
    <w:rsid w:val="6A4F5A0F"/>
    <w:rsid w:val="6A4F62B8"/>
    <w:rsid w:val="6A550839"/>
    <w:rsid w:val="6A6545A4"/>
    <w:rsid w:val="6ABA2214"/>
    <w:rsid w:val="6AC54891"/>
    <w:rsid w:val="6ADB54C4"/>
    <w:rsid w:val="6B0D19EC"/>
    <w:rsid w:val="6B22425E"/>
    <w:rsid w:val="6B7A56B9"/>
    <w:rsid w:val="6B981633"/>
    <w:rsid w:val="6C4E71B9"/>
    <w:rsid w:val="6CB57BB7"/>
    <w:rsid w:val="6CB870A9"/>
    <w:rsid w:val="6D162FB8"/>
    <w:rsid w:val="6DD34464"/>
    <w:rsid w:val="6DDAE4F7"/>
    <w:rsid w:val="6E216B56"/>
    <w:rsid w:val="6EA06EA6"/>
    <w:rsid w:val="6EBA7328"/>
    <w:rsid w:val="6EE44202"/>
    <w:rsid w:val="6F643623"/>
    <w:rsid w:val="6FD712B2"/>
    <w:rsid w:val="6FDBF7BE"/>
    <w:rsid w:val="6FFB6DE2"/>
    <w:rsid w:val="6FFD0F29"/>
    <w:rsid w:val="702D61A9"/>
    <w:rsid w:val="70F90298"/>
    <w:rsid w:val="70FD707F"/>
    <w:rsid w:val="719649DC"/>
    <w:rsid w:val="71BC4FE1"/>
    <w:rsid w:val="723B75FC"/>
    <w:rsid w:val="727F7AE6"/>
    <w:rsid w:val="7280576F"/>
    <w:rsid w:val="72905C11"/>
    <w:rsid w:val="72E03267"/>
    <w:rsid w:val="72F6A6E1"/>
    <w:rsid w:val="73026DB2"/>
    <w:rsid w:val="73365431"/>
    <w:rsid w:val="733D4D91"/>
    <w:rsid w:val="7368391E"/>
    <w:rsid w:val="737F05E7"/>
    <w:rsid w:val="73C02C6E"/>
    <w:rsid w:val="73ED0CE8"/>
    <w:rsid w:val="747E7887"/>
    <w:rsid w:val="75307118"/>
    <w:rsid w:val="759413F7"/>
    <w:rsid w:val="75AB27F1"/>
    <w:rsid w:val="75B368E7"/>
    <w:rsid w:val="75C93BFB"/>
    <w:rsid w:val="75CB1CFF"/>
    <w:rsid w:val="76A34B8A"/>
    <w:rsid w:val="76A80B25"/>
    <w:rsid w:val="775AE9E7"/>
    <w:rsid w:val="7773723B"/>
    <w:rsid w:val="779F3AC3"/>
    <w:rsid w:val="77B97B4C"/>
    <w:rsid w:val="77C4077E"/>
    <w:rsid w:val="77CA5856"/>
    <w:rsid w:val="78712BAE"/>
    <w:rsid w:val="787C72BD"/>
    <w:rsid w:val="78A70FE4"/>
    <w:rsid w:val="78D856BC"/>
    <w:rsid w:val="79CA0260"/>
    <w:rsid w:val="79CC4D88"/>
    <w:rsid w:val="79F25388"/>
    <w:rsid w:val="7A105726"/>
    <w:rsid w:val="7A2C3B20"/>
    <w:rsid w:val="7AD43D5B"/>
    <w:rsid w:val="7B4777BD"/>
    <w:rsid w:val="7B9A3760"/>
    <w:rsid w:val="7BBEA9DD"/>
    <w:rsid w:val="7BCC9D35"/>
    <w:rsid w:val="7BCE6D7B"/>
    <w:rsid w:val="7BD17E0D"/>
    <w:rsid w:val="7BED2CED"/>
    <w:rsid w:val="7C153097"/>
    <w:rsid w:val="7C1A712F"/>
    <w:rsid w:val="7CA7C3C7"/>
    <w:rsid w:val="7D39ED16"/>
    <w:rsid w:val="7D403348"/>
    <w:rsid w:val="7D5F5A34"/>
    <w:rsid w:val="7DC1139C"/>
    <w:rsid w:val="7DCB16CA"/>
    <w:rsid w:val="7E4208ED"/>
    <w:rsid w:val="7E727087"/>
    <w:rsid w:val="7E7F6193"/>
    <w:rsid w:val="7EB76B7F"/>
    <w:rsid w:val="7EC304BC"/>
    <w:rsid w:val="7EDE76B9"/>
    <w:rsid w:val="7EEE5E80"/>
    <w:rsid w:val="7EFBDAC7"/>
    <w:rsid w:val="7EFFE44D"/>
    <w:rsid w:val="7F044A94"/>
    <w:rsid w:val="7F6FF7BB"/>
    <w:rsid w:val="7F7F911E"/>
    <w:rsid w:val="7F973636"/>
    <w:rsid w:val="7FBBF030"/>
    <w:rsid w:val="7FD558FE"/>
    <w:rsid w:val="7FE76CCE"/>
    <w:rsid w:val="7FFA4CAE"/>
    <w:rsid w:val="89FF39F7"/>
    <w:rsid w:val="9D6A4C69"/>
    <w:rsid w:val="9F5E418D"/>
    <w:rsid w:val="9F9CA594"/>
    <w:rsid w:val="AEFF0BB9"/>
    <w:rsid w:val="AFDF89CF"/>
    <w:rsid w:val="B7BF0FCE"/>
    <w:rsid w:val="BAD79257"/>
    <w:rsid w:val="BBBF5D00"/>
    <w:rsid w:val="BEEC6F01"/>
    <w:rsid w:val="BFEF8545"/>
    <w:rsid w:val="BFF98A44"/>
    <w:rsid w:val="BFFF461B"/>
    <w:rsid w:val="CFF73C02"/>
    <w:rsid w:val="D5E7EAF6"/>
    <w:rsid w:val="D66D2D40"/>
    <w:rsid w:val="D7BE1076"/>
    <w:rsid w:val="DBFD77B0"/>
    <w:rsid w:val="DDFFECB2"/>
    <w:rsid w:val="DE9B7DDB"/>
    <w:rsid w:val="DEF548B1"/>
    <w:rsid w:val="DF4FE90F"/>
    <w:rsid w:val="E6346374"/>
    <w:rsid w:val="EFCDBDB9"/>
    <w:rsid w:val="F42FA53F"/>
    <w:rsid w:val="F5CE8251"/>
    <w:rsid w:val="F6F9A6CC"/>
    <w:rsid w:val="F757AB34"/>
    <w:rsid w:val="F7FF8691"/>
    <w:rsid w:val="F9FF9A62"/>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4">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5">
    <w:name w:val="heading 3"/>
    <w:basedOn w:val="1"/>
    <w:next w:val="6"/>
    <w:link w:val="171"/>
    <w:qFormat/>
    <w:uiPriority w:val="0"/>
    <w:pPr>
      <w:keepNext/>
      <w:keepLines/>
      <w:numPr>
        <w:ilvl w:val="2"/>
        <w:numId w:val="1"/>
      </w:numPr>
      <w:spacing w:before="260" w:after="260" w:line="416" w:lineRule="auto"/>
      <w:outlineLvl w:val="2"/>
    </w:pPr>
    <w:rPr>
      <w:b/>
      <w:bCs/>
      <w:sz w:val="32"/>
      <w:szCs w:val="32"/>
    </w:rPr>
  </w:style>
  <w:style w:type="paragraph" w:styleId="7">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8">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9">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10">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1">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2">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spacing w:after="120" w:line="360" w:lineRule="atLeast"/>
      <w:textAlignment w:val="baseline"/>
    </w:pPr>
    <w:rPr>
      <w:kern w:val="0"/>
      <w:sz w:val="20"/>
      <w:szCs w:val="20"/>
    </w:rPr>
  </w:style>
  <w:style w:type="paragraph" w:styleId="6">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3">
    <w:name w:val="List 3"/>
    <w:basedOn w:val="1"/>
    <w:qFormat/>
    <w:uiPriority w:val="0"/>
    <w:pPr>
      <w:ind w:left="100" w:leftChars="400" w:hanging="200" w:hangingChars="200"/>
    </w:pPr>
  </w:style>
  <w:style w:type="paragraph" w:styleId="14">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5">
    <w:name w:val="Document Map"/>
    <w:basedOn w:val="1"/>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sz w:val="24"/>
      <w:szCs w:val="20"/>
    </w:rPr>
  </w:style>
  <w:style w:type="paragraph" w:styleId="17">
    <w:name w:val="annotation text"/>
    <w:basedOn w:val="1"/>
    <w:link w:val="151"/>
    <w:qFormat/>
    <w:uiPriority w:val="0"/>
    <w:pPr>
      <w:jc w:val="left"/>
    </w:pPr>
  </w:style>
  <w:style w:type="paragraph" w:styleId="18">
    <w:name w:val="Salutation"/>
    <w:basedOn w:val="1"/>
    <w:next w:val="1"/>
    <w:link w:val="174"/>
    <w:qFormat/>
    <w:uiPriority w:val="0"/>
    <w:rPr>
      <w:sz w:val="24"/>
      <w:szCs w:val="20"/>
    </w:rPr>
  </w:style>
  <w:style w:type="paragraph" w:styleId="19">
    <w:name w:val="Body Text 3"/>
    <w:basedOn w:val="1"/>
    <w:link w:val="184"/>
    <w:qFormat/>
    <w:uiPriority w:val="0"/>
    <w:pPr>
      <w:spacing w:after="120"/>
    </w:pPr>
    <w:rPr>
      <w:sz w:val="16"/>
      <w:szCs w:val="16"/>
    </w:rPr>
  </w:style>
  <w:style w:type="paragraph" w:styleId="20">
    <w:name w:val="Body Text Indent"/>
    <w:basedOn w:val="1"/>
    <w:next w:val="1"/>
    <w:link w:val="154"/>
    <w:qFormat/>
    <w:uiPriority w:val="0"/>
    <w:pPr>
      <w:spacing w:after="120"/>
      <w:ind w:left="420" w:leftChars="200"/>
    </w:pPr>
  </w:style>
  <w:style w:type="paragraph" w:styleId="21">
    <w:name w:val="List 2"/>
    <w:basedOn w:val="1"/>
    <w:qFormat/>
    <w:uiPriority w:val="0"/>
    <w:pPr>
      <w:ind w:left="100" w:leftChars="200" w:hanging="200" w:hangingChars="200"/>
    </w:pPr>
  </w:style>
  <w:style w:type="paragraph" w:styleId="22">
    <w:name w:val="Block Text"/>
    <w:basedOn w:val="1"/>
    <w:qFormat/>
    <w:uiPriority w:val="0"/>
    <w:pPr>
      <w:spacing w:before="120" w:line="360" w:lineRule="auto"/>
      <w:ind w:left="824" w:right="202"/>
    </w:pPr>
    <w:rPr>
      <w:rFonts w:ascii="宋体" w:hAnsi="宋体"/>
      <w:sz w:val="24"/>
      <w:szCs w:val="21"/>
    </w:rPr>
  </w:style>
  <w:style w:type="paragraph" w:styleId="23">
    <w:name w:val="List Bullet 2"/>
    <w:basedOn w:val="1"/>
    <w:qFormat/>
    <w:uiPriority w:val="0"/>
    <w:pPr>
      <w:tabs>
        <w:tab w:val="left" w:pos="432"/>
      </w:tabs>
      <w:spacing w:line="460" w:lineRule="exact"/>
      <w:ind w:left="432" w:hanging="432"/>
    </w:pPr>
    <w:rPr>
      <w:spacing w:val="6"/>
      <w:sz w:val="24"/>
      <w:szCs w:val="20"/>
    </w:rPr>
  </w:style>
  <w:style w:type="paragraph" w:styleId="24">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5">
    <w:name w:val="Plain Text"/>
    <w:basedOn w:val="1"/>
    <w:link w:val="170"/>
    <w:qFormat/>
    <w:uiPriority w:val="0"/>
    <w:rPr>
      <w:rFonts w:ascii="宋体" w:hAnsi="Courier New"/>
      <w:szCs w:val="20"/>
    </w:rPr>
  </w:style>
  <w:style w:type="paragraph" w:styleId="26">
    <w:name w:val="Date"/>
    <w:basedOn w:val="1"/>
    <w:next w:val="1"/>
    <w:qFormat/>
    <w:uiPriority w:val="0"/>
    <w:pPr>
      <w:ind w:left="100" w:leftChars="2500"/>
    </w:pPr>
  </w:style>
  <w:style w:type="paragraph" w:styleId="27">
    <w:name w:val="Body Text Indent 2"/>
    <w:basedOn w:val="1"/>
    <w:qFormat/>
    <w:uiPriority w:val="0"/>
    <w:pPr>
      <w:spacing w:after="120" w:line="480" w:lineRule="auto"/>
      <w:ind w:left="420" w:leftChars="200"/>
    </w:pPr>
  </w:style>
  <w:style w:type="paragraph" w:styleId="28">
    <w:name w:val="Balloon Text"/>
    <w:basedOn w:val="1"/>
    <w:link w:val="161"/>
    <w:semiHidden/>
    <w:qFormat/>
    <w:uiPriority w:val="0"/>
    <w:rPr>
      <w:sz w:val="18"/>
      <w:szCs w:val="18"/>
    </w:rPr>
  </w:style>
  <w:style w:type="paragraph" w:styleId="29">
    <w:name w:val="footer"/>
    <w:basedOn w:val="1"/>
    <w:link w:val="188"/>
    <w:qFormat/>
    <w:uiPriority w:val="99"/>
    <w:pPr>
      <w:tabs>
        <w:tab w:val="center" w:pos="4153"/>
        <w:tab w:val="right" w:pos="8306"/>
      </w:tabs>
      <w:snapToGrid w:val="0"/>
      <w:jc w:val="left"/>
    </w:pPr>
    <w:rPr>
      <w:sz w:val="18"/>
      <w:szCs w:val="18"/>
    </w:rPr>
  </w:style>
  <w:style w:type="paragraph" w:styleId="30">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2">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3">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4">
    <w:name w:val="Body Text 2"/>
    <w:basedOn w:val="1"/>
    <w:qFormat/>
    <w:uiPriority w:val="0"/>
    <w:pPr>
      <w:spacing w:after="120" w:line="480" w:lineRule="auto"/>
    </w:pPr>
  </w:style>
  <w:style w:type="paragraph" w:styleId="35">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7">
    <w:name w:val="Title"/>
    <w:basedOn w:val="1"/>
    <w:next w:val="1"/>
    <w:link w:val="157"/>
    <w:qFormat/>
    <w:uiPriority w:val="0"/>
    <w:pPr>
      <w:jc w:val="center"/>
    </w:pPr>
    <w:rPr>
      <w:rFonts w:ascii="黑体" w:eastAsia="黑体"/>
      <w:b/>
      <w:sz w:val="36"/>
      <w:szCs w:val="20"/>
    </w:rPr>
  </w:style>
  <w:style w:type="paragraph" w:styleId="38">
    <w:name w:val="annotation subject"/>
    <w:basedOn w:val="17"/>
    <w:next w:val="17"/>
    <w:link w:val="192"/>
    <w:qFormat/>
    <w:uiPriority w:val="0"/>
    <w:rPr>
      <w:b/>
      <w:bCs/>
    </w:rPr>
  </w:style>
  <w:style w:type="paragraph" w:styleId="39">
    <w:name w:val="Body Text First Indent"/>
    <w:basedOn w:val="2"/>
    <w:next w:val="2"/>
    <w:qFormat/>
    <w:uiPriority w:val="0"/>
    <w:pPr>
      <w:widowControl/>
      <w:tabs>
        <w:tab w:val="left" w:pos="0"/>
      </w:tabs>
      <w:spacing w:after="156"/>
      <w:ind w:left="425"/>
      <w:jc w:val="left"/>
    </w:pPr>
    <w:rPr>
      <w:sz w:val="28"/>
      <w:szCs w:val="28"/>
    </w:rPr>
  </w:style>
  <w:style w:type="paragraph" w:styleId="40">
    <w:name w:val="Body Text First Indent 2"/>
    <w:basedOn w:val="20"/>
    <w:next w:val="39"/>
    <w:qFormat/>
    <w:uiPriority w:val="0"/>
    <w:pPr>
      <w:ind w:firstLine="420" w:firstLineChars="200"/>
    </w:pPr>
    <w:rPr>
      <w:rFonts w:ascii="Times New Roman" w:hAnsi="Times New Roman"/>
    </w:rPr>
  </w:style>
  <w:style w:type="table" w:styleId="42">
    <w:name w:val="Table Grid"/>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basedOn w:val="43"/>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basedOn w:val="43"/>
    <w:qFormat/>
    <w:uiPriority w:val="0"/>
  </w:style>
  <w:style w:type="character" w:styleId="48">
    <w:name w:val="HTML Definition"/>
    <w:basedOn w:val="43"/>
    <w:qFormat/>
    <w:uiPriority w:val="0"/>
  </w:style>
  <w:style w:type="character" w:styleId="49">
    <w:name w:val="HTML Variable"/>
    <w:basedOn w:val="43"/>
    <w:qFormat/>
    <w:uiPriority w:val="0"/>
  </w:style>
  <w:style w:type="character" w:styleId="50">
    <w:name w:val="Hyperlink"/>
    <w:qFormat/>
    <w:uiPriority w:val="99"/>
    <w:rPr>
      <w:rFonts w:hint="default" w:ascii="ˎ̥" w:hAnsi="ˎ̥"/>
      <w:color w:val="3352CC"/>
      <w:sz w:val="18"/>
      <w:szCs w:val="18"/>
      <w:u w:val="none"/>
    </w:rPr>
  </w:style>
  <w:style w:type="character" w:styleId="51">
    <w:name w:val="HTML Code"/>
    <w:basedOn w:val="43"/>
    <w:qFormat/>
    <w:uiPriority w:val="0"/>
    <w:rPr>
      <w:rFonts w:hint="default" w:ascii="serif" w:hAnsi="serif" w:eastAsia="serif" w:cs="serif"/>
      <w:sz w:val="21"/>
      <w:szCs w:val="21"/>
    </w:rPr>
  </w:style>
  <w:style w:type="character" w:styleId="52">
    <w:name w:val="annotation reference"/>
    <w:qFormat/>
    <w:uiPriority w:val="0"/>
    <w:rPr>
      <w:sz w:val="21"/>
      <w:szCs w:val="21"/>
    </w:rPr>
  </w:style>
  <w:style w:type="character" w:styleId="53">
    <w:name w:val="HTML Cite"/>
    <w:basedOn w:val="43"/>
    <w:qFormat/>
    <w:uiPriority w:val="0"/>
  </w:style>
  <w:style w:type="character" w:styleId="54">
    <w:name w:val="HTML Keyboard"/>
    <w:basedOn w:val="43"/>
    <w:qFormat/>
    <w:uiPriority w:val="0"/>
    <w:rPr>
      <w:rFonts w:ascii="serif" w:hAnsi="serif" w:eastAsia="serif" w:cs="serif"/>
      <w:sz w:val="21"/>
      <w:szCs w:val="21"/>
    </w:rPr>
  </w:style>
  <w:style w:type="character" w:styleId="55">
    <w:name w:val="HTML Sample"/>
    <w:basedOn w:val="43"/>
    <w:qFormat/>
    <w:uiPriority w:val="0"/>
    <w:rPr>
      <w:rFonts w:hint="default" w:ascii="serif" w:hAnsi="serif" w:eastAsia="serif" w:cs="serif"/>
      <w:sz w:val="21"/>
      <w:szCs w:val="21"/>
    </w:rPr>
  </w:style>
  <w:style w:type="paragraph" w:customStyle="1" w:styleId="56">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character" w:customStyle="1" w:styleId="57">
    <w:name w:val="标题 1 字符"/>
    <w:link w:val="3"/>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4"/>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7"/>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5"/>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5"/>
    <w:qFormat/>
    <w:uiPriority w:val="0"/>
    <w:pPr>
      <w:spacing w:line="360" w:lineRule="auto"/>
    </w:pPr>
    <w:rPr>
      <w:rFonts w:ascii="Tahoma" w:hAnsi="Tahoma"/>
      <w:sz w:val="24"/>
    </w:rPr>
  </w:style>
  <w:style w:type="paragraph" w:customStyle="1" w:styleId="84">
    <w:name w:val="样式 标题 4 + 段后: 8.15 磅 行距: 1.5 倍行距"/>
    <w:basedOn w:val="7"/>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5"/>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6"/>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5"/>
    <w:qFormat/>
    <w:uiPriority w:val="0"/>
    <w:rPr>
      <w:rFonts w:ascii="Tahoma" w:hAnsi="Tahoma" w:cs="Tahoma"/>
      <w:sz w:val="24"/>
    </w:rPr>
  </w:style>
  <w:style w:type="paragraph" w:customStyle="1" w:styleId="91">
    <w:name w:val="样式 正文（首行缩进两字） + 宋体 左侧:  0 厘米 悬挂缩进: 1.43 字符"/>
    <w:basedOn w:val="6"/>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7"/>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6"/>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3"/>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5"/>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6"/>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5"/>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5"/>
    <w:qFormat/>
    <w:uiPriority w:val="0"/>
    <w:rPr>
      <w:rFonts w:ascii="Tahoma" w:hAnsi="Tahoma"/>
      <w:sz w:val="24"/>
    </w:rPr>
  </w:style>
  <w:style w:type="paragraph" w:customStyle="1" w:styleId="117">
    <w:name w:val="样式 标题 3 + (符号) 宋体 四号 加粗 黑色 段前: 0 磅 段后: 0 磅 行距: 固定值 22 磅"/>
    <w:basedOn w:val="5"/>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5"/>
    <w:qFormat/>
    <w:uiPriority w:val="0"/>
  </w:style>
  <w:style w:type="paragraph" w:customStyle="1" w:styleId="121">
    <w:name w:val="_Style 109"/>
    <w:basedOn w:val="3"/>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5"/>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6"/>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7"/>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4"/>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4"/>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4"/>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5"/>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7"/>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0"/>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7"/>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8"/>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6"/>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10"/>
    <w:qFormat/>
    <w:uiPriority w:val="0"/>
    <w:rPr>
      <w:sz w:val="24"/>
    </w:rPr>
  </w:style>
  <w:style w:type="character" w:customStyle="1" w:styleId="170">
    <w:name w:val="纯文本 字符"/>
    <w:link w:val="25"/>
    <w:qFormat/>
    <w:uiPriority w:val="0"/>
    <w:rPr>
      <w:rFonts w:ascii="宋体" w:hAnsi="Courier New" w:eastAsia="宋体"/>
      <w:kern w:val="2"/>
      <w:sz w:val="21"/>
      <w:lang w:val="en-US" w:eastAsia="zh-CN" w:bidi="ar-SA"/>
    </w:rPr>
  </w:style>
  <w:style w:type="character" w:customStyle="1" w:styleId="171">
    <w:name w:val="标题 3 字符"/>
    <w:link w:val="5"/>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8"/>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0"/>
    <w:qFormat/>
    <w:uiPriority w:val="0"/>
    <w:rPr>
      <w:rFonts w:eastAsia="宋体"/>
      <w:kern w:val="2"/>
      <w:sz w:val="18"/>
      <w:szCs w:val="18"/>
      <w:lang w:val="en-US" w:eastAsia="zh-CN" w:bidi="ar-SA"/>
    </w:rPr>
  </w:style>
  <w:style w:type="character" w:customStyle="1" w:styleId="177">
    <w:name w:val="正文文本缩进 3 字符"/>
    <w:link w:val="32"/>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9"/>
    <w:qFormat/>
    <w:uiPriority w:val="0"/>
    <w:rPr>
      <w:kern w:val="2"/>
      <w:sz w:val="16"/>
      <w:szCs w:val="16"/>
    </w:rPr>
  </w:style>
  <w:style w:type="character" w:customStyle="1" w:styleId="185">
    <w:name w:val="HTML 预设格式 字符"/>
    <w:link w:val="35"/>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29"/>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8"/>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3"/>
    <w:qFormat/>
    <w:uiPriority w:val="0"/>
    <w:rPr>
      <w:strike/>
    </w:rPr>
  </w:style>
  <w:style w:type="character" w:customStyle="1" w:styleId="198">
    <w:name w:val="fontborder"/>
    <w:basedOn w:val="43"/>
    <w:qFormat/>
    <w:uiPriority w:val="0"/>
    <w:rPr>
      <w:bdr w:val="single" w:color="000000" w:sz="6" w:space="0"/>
    </w:rPr>
  </w:style>
  <w:style w:type="character" w:customStyle="1" w:styleId="199">
    <w:name w:val="font"/>
    <w:basedOn w:val="43"/>
    <w:qFormat/>
    <w:uiPriority w:val="0"/>
  </w:style>
  <w:style w:type="character" w:customStyle="1" w:styleId="200">
    <w:name w:val="font1"/>
    <w:basedOn w:val="43"/>
    <w:qFormat/>
    <w:uiPriority w:val="0"/>
  </w:style>
  <w:style w:type="character" w:customStyle="1" w:styleId="201">
    <w:name w:val="gwds_nopic"/>
    <w:basedOn w:val="43"/>
    <w:qFormat/>
    <w:uiPriority w:val="0"/>
  </w:style>
  <w:style w:type="character" w:customStyle="1" w:styleId="202">
    <w:name w:val="gwds_nopic1"/>
    <w:basedOn w:val="43"/>
    <w:qFormat/>
    <w:uiPriority w:val="0"/>
  </w:style>
  <w:style w:type="character" w:customStyle="1" w:styleId="203">
    <w:name w:val="gwds_nopic2"/>
    <w:basedOn w:val="43"/>
    <w:qFormat/>
    <w:uiPriority w:val="0"/>
    <w:rPr>
      <w:rFonts w:ascii="宋体 ! important" w:hAnsi="宋体 ! important" w:eastAsia="宋体 ! important" w:cs="宋体 ! important"/>
      <w:color w:val="454545"/>
      <w:sz w:val="21"/>
      <w:szCs w:val="21"/>
    </w:rPr>
  </w:style>
  <w:style w:type="character" w:customStyle="1" w:styleId="204">
    <w:name w:val="hover17"/>
    <w:basedOn w:val="43"/>
    <w:qFormat/>
    <w:uiPriority w:val="0"/>
    <w:rPr>
      <w:color w:val="025291"/>
    </w:rPr>
  </w:style>
  <w:style w:type="character" w:customStyle="1" w:styleId="205">
    <w:name w:val="place"/>
    <w:basedOn w:val="43"/>
    <w:qFormat/>
    <w:uiPriority w:val="0"/>
    <w:rPr>
      <w:rFonts w:ascii="微软雅黑" w:hAnsi="微软雅黑" w:eastAsia="微软雅黑" w:cs="微软雅黑"/>
      <w:color w:val="888888"/>
      <w:sz w:val="25"/>
      <w:szCs w:val="25"/>
    </w:rPr>
  </w:style>
  <w:style w:type="character" w:customStyle="1" w:styleId="206">
    <w:name w:val="place1"/>
    <w:basedOn w:val="43"/>
    <w:qFormat/>
    <w:uiPriority w:val="0"/>
  </w:style>
  <w:style w:type="character" w:customStyle="1" w:styleId="207">
    <w:name w:val="place2"/>
    <w:basedOn w:val="43"/>
    <w:qFormat/>
    <w:uiPriority w:val="0"/>
  </w:style>
  <w:style w:type="character" w:customStyle="1" w:styleId="208">
    <w:name w:val="place3"/>
    <w:basedOn w:val="43"/>
    <w:qFormat/>
    <w:uiPriority w:val="0"/>
  </w:style>
  <w:style w:type="character" w:customStyle="1" w:styleId="209">
    <w:name w:val="noline"/>
    <w:basedOn w:val="43"/>
    <w:qFormat/>
    <w:uiPriority w:val="0"/>
  </w:style>
  <w:style w:type="character" w:customStyle="1" w:styleId="210">
    <w:name w:val="hover18"/>
    <w:basedOn w:val="43"/>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table" w:customStyle="1" w:styleId="22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35</Pages>
  <Words>7533</Words>
  <Characters>7963</Characters>
  <Lines>144</Lines>
  <Paragraphs>40</Paragraphs>
  <TotalTime>0</TotalTime>
  <ScaleCrop>false</ScaleCrop>
  <LinksUpToDate>false</LinksUpToDate>
  <CharactersWithSpaces>8221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2022-03-30T00:20:00Z</dcterms:created>
  <dc:creator>yx</dc:creator>
  <cp:lastModifiedBy>赣州旅投建设集团有限公司</cp:lastModifiedBy>
  <cp:lastPrinted>2023-04-28T08:20:00Z</cp:lastPrinted>
  <dcterms:modified xsi:type="dcterms:W3CDTF">2025-03-21T01:30:28Z</dcterms:modified>
  <dc:title>云南红塔烟叶物资有限责任公司</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A391FF6FEFFC4DA485DF3B90873A7FEA_13</vt:lpwstr>
  </property>
  <property fmtid="{D5CDD505-2E9C-101B-9397-08002B2CF9AE}" pid="4" name="KSOTemplateDocerSaveRecord">
    <vt:lpwstr>eyJoZGlkIjoiNTExM2QyYjU1MjgxNTFmNjhjNGFhZWM1ZDA3OGE4ZmIiLCJ1c2VySWQiOiIzMzMzMTQ5NDUifQ==</vt:lpwstr>
  </property>
</Properties>
</file>